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A417B" w14:textId="57B72DDE" w:rsidR="00E70250" w:rsidRPr="00643914" w:rsidRDefault="00E70250" w:rsidP="00E70250">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106bis-e</w:t>
      </w:r>
      <w:r w:rsidRPr="00F644CF">
        <w:rPr>
          <w:rFonts w:ascii="Arial" w:hAnsi="Arial" w:cs="Arial"/>
          <w:b/>
          <w:sz w:val="24"/>
          <w:szCs w:val="24"/>
        </w:rPr>
        <w:tab/>
        <w:t>R4-</w:t>
      </w:r>
      <w:r w:rsidR="00492839" w:rsidRPr="00492839">
        <w:rPr>
          <w:rFonts w:ascii="Arial" w:hAnsi="Arial" w:cs="Arial"/>
          <w:b/>
          <w:sz w:val="24"/>
          <w:szCs w:val="24"/>
        </w:rPr>
        <w:t>2304906</w:t>
      </w:r>
    </w:p>
    <w:p w14:paraId="013EADA1" w14:textId="77777777" w:rsidR="00E70250" w:rsidRPr="00807EF6" w:rsidRDefault="00E70250" w:rsidP="00E70250">
      <w:pPr>
        <w:pStyle w:val="a4"/>
        <w:tabs>
          <w:tab w:val="clear" w:pos="4153"/>
          <w:tab w:val="clear" w:pos="8306"/>
          <w:tab w:val="right" w:pos="9781"/>
          <w:tab w:val="right" w:pos="13323"/>
        </w:tabs>
        <w:jc w:val="both"/>
        <w:outlineLvl w:val="0"/>
        <w:rPr>
          <w:rFonts w:ascii="Arial" w:hAnsi="Arial"/>
          <w:b/>
          <w:sz w:val="24"/>
          <w:szCs w:val="24"/>
          <w:lang w:eastAsia="ko-KR"/>
        </w:rPr>
      </w:pPr>
      <w:r w:rsidRPr="004A029C">
        <w:rPr>
          <w:rFonts w:ascii="Arial" w:eastAsia="SimSun" w:hAnsi="Arial" w:cs="Arial"/>
          <w:b/>
          <w:sz w:val="24"/>
          <w:szCs w:val="24"/>
          <w:lang w:eastAsia="zh-CN"/>
        </w:rPr>
        <w:t>202</w:t>
      </w:r>
      <w:r>
        <w:rPr>
          <w:rFonts w:ascii="Arial" w:eastAsia="SimSun" w:hAnsi="Arial" w:cs="Arial"/>
          <w:b/>
          <w:sz w:val="24"/>
          <w:szCs w:val="24"/>
          <w:lang w:eastAsia="zh-CN"/>
        </w:rPr>
        <w:t>3</w:t>
      </w:r>
      <w:r w:rsidRPr="00F76F0A">
        <w:t xml:space="preserve"> </w:t>
      </w:r>
      <w:r w:rsidRPr="00F76F0A">
        <w:rPr>
          <w:rFonts w:ascii="Arial" w:eastAsia="SimSun" w:hAnsi="Arial" w:cs="Arial"/>
          <w:b/>
          <w:sz w:val="24"/>
          <w:szCs w:val="24"/>
          <w:lang w:eastAsia="zh-CN"/>
        </w:rPr>
        <w:t>Online, April 17 – April 26, 2023</w:t>
      </w:r>
    </w:p>
    <w:p w14:paraId="56CE6A49"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47D05D5E"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1F9AB9BD" w14:textId="7777777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C31F3">
        <w:rPr>
          <w:rFonts w:ascii="Arial" w:hAnsi="Arial" w:cs="Arial"/>
          <w:lang w:val="en-US"/>
        </w:rPr>
        <w:t>Discussion on mobility requirements</w:t>
      </w:r>
      <w:r w:rsidR="00D80D10" w:rsidRPr="00D80D10">
        <w:rPr>
          <w:rFonts w:ascii="Arial" w:hAnsi="Arial" w:cs="Arial"/>
          <w:lang w:val="en-US"/>
        </w:rPr>
        <w:t xml:space="preserve"> for ATG RRM </w:t>
      </w:r>
    </w:p>
    <w:p w14:paraId="0DD4524B" w14:textId="1F0A1DD3"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4124E">
        <w:rPr>
          <w:rFonts w:ascii="Arial" w:hAnsi="Arial" w:cs="Arial"/>
          <w:lang w:val="en-US" w:eastAsia="ko-KR"/>
        </w:rPr>
        <w:t>5</w:t>
      </w:r>
      <w:r w:rsidR="00967B42">
        <w:rPr>
          <w:rFonts w:ascii="Arial" w:hAnsi="Arial" w:cs="Arial"/>
          <w:lang w:val="en-US" w:eastAsia="ko-KR"/>
        </w:rPr>
        <w:t>.</w:t>
      </w:r>
      <w:r w:rsidR="0001664D">
        <w:rPr>
          <w:rFonts w:ascii="Arial" w:hAnsi="Arial" w:cs="Arial"/>
          <w:lang w:val="en-US" w:eastAsia="ko-KR"/>
        </w:rPr>
        <w:t>1</w:t>
      </w:r>
      <w:r w:rsidR="0054124E">
        <w:rPr>
          <w:rFonts w:ascii="Arial" w:hAnsi="Arial" w:cs="Arial"/>
          <w:lang w:val="en-US" w:eastAsia="ko-KR"/>
        </w:rPr>
        <w:t>4</w:t>
      </w:r>
      <w:r w:rsidR="0001664D">
        <w:rPr>
          <w:rFonts w:ascii="Arial" w:hAnsi="Arial" w:cs="Arial"/>
          <w:lang w:val="en-US" w:eastAsia="ko-KR"/>
        </w:rPr>
        <w:t>.4.</w:t>
      </w:r>
      <w:r w:rsidR="005C31F3">
        <w:rPr>
          <w:rFonts w:ascii="Arial" w:hAnsi="Arial" w:cs="Arial"/>
          <w:lang w:val="en-US" w:eastAsia="ko-KR"/>
        </w:rPr>
        <w:t>2</w:t>
      </w:r>
    </w:p>
    <w:p w14:paraId="2565B76D"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5E2BB0">
        <w:rPr>
          <w:rFonts w:ascii="Arial" w:hAnsi="Arial" w:cs="Arial"/>
          <w:bCs/>
          <w:lang w:val="en-US" w:eastAsia="ko-KR"/>
        </w:rPr>
        <w:t>Discussion</w:t>
      </w:r>
    </w:p>
    <w:p w14:paraId="4A3AA292" w14:textId="77777777" w:rsidR="001171FA" w:rsidRPr="00576FCA" w:rsidRDefault="001171FA" w:rsidP="00D4523D">
      <w:pPr>
        <w:pBdr>
          <w:bottom w:val="single" w:sz="4" w:space="1" w:color="auto"/>
        </w:pBdr>
        <w:jc w:val="both"/>
        <w:rPr>
          <w:rFonts w:ascii="Arial" w:hAnsi="Arial" w:cs="Arial"/>
          <w:lang w:val="en-US"/>
        </w:rPr>
      </w:pPr>
    </w:p>
    <w:p w14:paraId="467B89F0" w14:textId="77777777" w:rsidR="001171FA" w:rsidRPr="00576FCA" w:rsidRDefault="001171FA" w:rsidP="00D4523D">
      <w:pPr>
        <w:jc w:val="both"/>
        <w:rPr>
          <w:rFonts w:ascii="Arial" w:hAnsi="Arial" w:cs="Arial"/>
          <w:lang w:val="en-US"/>
        </w:rPr>
      </w:pPr>
    </w:p>
    <w:p w14:paraId="0C67A04C" w14:textId="77777777" w:rsidR="003C5363" w:rsidRDefault="001171FA" w:rsidP="00D4523D">
      <w:pPr>
        <w:pStyle w:val="1"/>
        <w:jc w:val="both"/>
        <w:rPr>
          <w:lang w:val="en-US" w:eastAsia="ko-KR"/>
        </w:rPr>
      </w:pPr>
      <w:r w:rsidRPr="00576FCA">
        <w:rPr>
          <w:lang w:val="en-US"/>
        </w:rPr>
        <w:t>Introduction</w:t>
      </w:r>
    </w:p>
    <w:p w14:paraId="7E7D2A7E" w14:textId="77777777" w:rsidR="005E2BB0" w:rsidRDefault="00812EBD" w:rsidP="005E2BB0">
      <w:pPr>
        <w:pStyle w:val="a0"/>
        <w:jc w:val="both"/>
        <w:rPr>
          <w:lang w:val="en-US" w:eastAsia="ko-KR"/>
        </w:rPr>
      </w:pPr>
      <w:r>
        <w:rPr>
          <w:lang w:val="en-US" w:eastAsia="ko-KR"/>
        </w:rPr>
        <w:t xml:space="preserve"> </w:t>
      </w:r>
      <w:r w:rsidR="005E2BB0">
        <w:rPr>
          <w:lang w:val="en-US" w:eastAsia="ko-KR"/>
        </w:rPr>
        <w:t xml:space="preserve">In this contribution, we provide our views </w:t>
      </w:r>
      <w:r w:rsidR="0013076C">
        <w:rPr>
          <w:lang w:val="en-US" w:eastAsia="ko-KR"/>
        </w:rPr>
        <w:t>on mobility requirements for ATG RRM.</w:t>
      </w:r>
    </w:p>
    <w:p w14:paraId="22D42E65" w14:textId="77777777" w:rsidR="00683CAB" w:rsidRDefault="00683CAB" w:rsidP="00662107">
      <w:pPr>
        <w:pStyle w:val="a0"/>
        <w:jc w:val="both"/>
        <w:rPr>
          <w:lang w:val="en-US" w:eastAsia="ko-KR"/>
        </w:rPr>
      </w:pPr>
    </w:p>
    <w:p w14:paraId="41048DAA" w14:textId="77777777" w:rsidR="006C36D4" w:rsidRDefault="005E2BB0" w:rsidP="00CB4799">
      <w:pPr>
        <w:pStyle w:val="1"/>
        <w:spacing w:line="276" w:lineRule="auto"/>
        <w:jc w:val="both"/>
        <w:rPr>
          <w:lang w:val="en-US" w:eastAsia="ko-KR"/>
        </w:rPr>
      </w:pPr>
      <w:r>
        <w:rPr>
          <w:lang w:val="en-US" w:eastAsia="ko-KR"/>
        </w:rPr>
        <w:t>Discussion</w:t>
      </w:r>
    </w:p>
    <w:p w14:paraId="66BB9CB4" w14:textId="7554710C" w:rsidR="004862E8" w:rsidRPr="004862E8" w:rsidRDefault="00ED2A21" w:rsidP="004862E8">
      <w:pPr>
        <w:pStyle w:val="a0"/>
        <w:jc w:val="both"/>
        <w:rPr>
          <w:lang w:val="en-US" w:eastAsia="ko-KR"/>
        </w:rPr>
      </w:pPr>
      <w:r>
        <w:rPr>
          <w:b/>
          <w:sz w:val="24"/>
          <w:u w:val="single"/>
          <w:lang w:val="en-US" w:eastAsia="ko-KR"/>
        </w:rPr>
        <w:t>Location</w:t>
      </w:r>
      <w:r w:rsidR="002C3A80">
        <w:rPr>
          <w:b/>
          <w:sz w:val="24"/>
          <w:u w:val="single"/>
          <w:lang w:val="en-US" w:eastAsia="ko-KR"/>
        </w:rPr>
        <w:t xml:space="preserve">/Distance </w:t>
      </w:r>
      <w:r>
        <w:rPr>
          <w:b/>
          <w:sz w:val="24"/>
          <w:u w:val="single"/>
          <w:lang w:val="en-US" w:eastAsia="ko-KR"/>
        </w:rPr>
        <w:t xml:space="preserve">based </w:t>
      </w:r>
      <w:r w:rsidR="004862E8">
        <w:rPr>
          <w:b/>
          <w:sz w:val="24"/>
          <w:u w:val="single"/>
          <w:lang w:val="en-US" w:eastAsia="ko-KR"/>
        </w:rPr>
        <w:t xml:space="preserve">Mobility </w:t>
      </w:r>
    </w:p>
    <w:p w14:paraId="46779F73" w14:textId="5D40205D" w:rsidR="004862E8" w:rsidRDefault="004862E8" w:rsidP="004862E8">
      <w:pPr>
        <w:pStyle w:val="a0"/>
        <w:jc w:val="both"/>
        <w:rPr>
          <w:lang w:val="en-US" w:eastAsia="ko-KR"/>
        </w:rPr>
      </w:pPr>
      <w:r>
        <w:rPr>
          <w:rFonts w:hint="eastAsia"/>
          <w:lang w:val="en-US" w:eastAsia="ko-KR"/>
        </w:rPr>
        <w:t xml:space="preserve">In </w:t>
      </w:r>
      <w:r>
        <w:rPr>
          <w:lang w:val="en-US" w:eastAsia="ko-KR"/>
        </w:rPr>
        <w:t>RAN4 #10</w:t>
      </w:r>
      <w:r w:rsidR="00ED2A21">
        <w:rPr>
          <w:lang w:val="en-US" w:eastAsia="ko-KR"/>
        </w:rPr>
        <w:t>6</w:t>
      </w:r>
      <w:r>
        <w:rPr>
          <w:lang w:val="en-US" w:eastAsia="ko-KR"/>
        </w:rPr>
        <w:t xml:space="preserve"> meeting [1], </w:t>
      </w:r>
      <w:r w:rsidR="00AF22E5">
        <w:rPr>
          <w:lang w:val="en-US" w:eastAsia="ko-KR"/>
        </w:rPr>
        <w:t xml:space="preserve">following agreements were made. </w:t>
      </w:r>
    </w:p>
    <w:tbl>
      <w:tblPr>
        <w:tblStyle w:val="a9"/>
        <w:tblW w:w="0" w:type="auto"/>
        <w:tblLook w:val="04A0" w:firstRow="1" w:lastRow="0" w:firstColumn="1" w:lastColumn="0" w:noHBand="0" w:noVBand="1"/>
      </w:tblPr>
      <w:tblGrid>
        <w:gridCol w:w="9855"/>
      </w:tblGrid>
      <w:tr w:rsidR="004862E8" w14:paraId="757942BF" w14:textId="77777777" w:rsidTr="004862E8">
        <w:tc>
          <w:tcPr>
            <w:tcW w:w="9855" w:type="dxa"/>
          </w:tcPr>
          <w:p w14:paraId="59C8F072" w14:textId="77777777" w:rsidR="00274312" w:rsidRDefault="00274312" w:rsidP="00274312">
            <w:pPr>
              <w:rPr>
                <w:b/>
                <w:u w:val="single"/>
                <w:lang w:eastAsia="ko-KR"/>
              </w:rPr>
            </w:pPr>
            <w:r w:rsidRPr="00971B64">
              <w:rPr>
                <w:b/>
                <w:u w:val="single"/>
                <w:lang w:eastAsia="ko-KR"/>
              </w:rPr>
              <w:t>Issue 2-1-1-1: Cell re-selection mechanism</w:t>
            </w:r>
          </w:p>
          <w:p w14:paraId="0CBD2D91" w14:textId="77777777" w:rsidR="00274312" w:rsidRPr="00ED048A" w:rsidRDefault="00274312" w:rsidP="00274312">
            <w:pPr>
              <w:pStyle w:val="ad"/>
              <w:numPr>
                <w:ilvl w:val="0"/>
                <w:numId w:val="3"/>
              </w:numPr>
              <w:spacing w:after="120"/>
              <w:ind w:leftChars="0" w:hanging="357"/>
            </w:pPr>
            <w:r w:rsidRPr="00ED048A">
              <w:t xml:space="preserve">Option 1: Introduce distance-based triggering as an additional condition for intra- and inter-frequency cell measurement as NTN, whether and how to configure the feature is up to network implementation </w:t>
            </w:r>
          </w:p>
          <w:p w14:paraId="5089D995" w14:textId="77777777" w:rsidR="00274312" w:rsidRPr="00ED048A" w:rsidRDefault="00274312" w:rsidP="00274312">
            <w:pPr>
              <w:pStyle w:val="ad"/>
              <w:numPr>
                <w:ilvl w:val="1"/>
                <w:numId w:val="3"/>
              </w:numPr>
              <w:spacing w:after="120"/>
              <w:ind w:leftChars="0"/>
            </w:pPr>
            <w:r w:rsidRPr="00ED048A">
              <w:t>If Srxlev &gt; S</w:t>
            </w:r>
            <w:r w:rsidRPr="00ED048A">
              <w:rPr>
                <w:vertAlign w:val="subscript"/>
              </w:rPr>
              <w:t>(non)IntraSearchP</w:t>
            </w:r>
            <w:r w:rsidRPr="00ED048A">
              <w:t xml:space="preserve"> and Squal &gt; S</w:t>
            </w:r>
            <w:r w:rsidRPr="00ED048A">
              <w:rPr>
                <w:vertAlign w:val="subscript"/>
              </w:rPr>
              <w:t>(non)IntraSearchQ</w:t>
            </w:r>
            <w:r w:rsidRPr="00ED048A">
              <w:t>, and the distance between UE and serving cell reference location is smaller than distanceThresh if distanceThresh is configured and UE has location information, then the UE shall search for inter/intra-frequency layers of higher priority.</w:t>
            </w:r>
          </w:p>
          <w:p w14:paraId="536D1506" w14:textId="77777777" w:rsidR="00274312" w:rsidRPr="00ED048A" w:rsidRDefault="00274312" w:rsidP="00274312">
            <w:pPr>
              <w:pStyle w:val="ad"/>
              <w:numPr>
                <w:ilvl w:val="1"/>
                <w:numId w:val="3"/>
              </w:numPr>
              <w:spacing w:after="120"/>
              <w:ind w:leftChars="0"/>
            </w:pPr>
            <w:r w:rsidRPr="00ED048A">
              <w:t>If Srxlev ≤ S</w:t>
            </w:r>
            <w:r w:rsidRPr="00ED048A">
              <w:rPr>
                <w:vertAlign w:val="subscript"/>
              </w:rPr>
              <w:t>(non)IntraSearchP</w:t>
            </w:r>
            <w:r w:rsidRPr="00ED048A">
              <w:t xml:space="preserve"> or Squal ≤ S</w:t>
            </w:r>
            <w:r w:rsidRPr="00ED048A">
              <w:rPr>
                <w:vertAlign w:val="subscript"/>
              </w:rPr>
              <w:t>(non)IntraSearchQ</w:t>
            </w:r>
            <w:r w:rsidRPr="00ED048A">
              <w:t>, or the distance between UE and serving cell reference location is larger than distanceThresh if distanceThresh is configured and UE has location information, then the UE shall search for and measure inter/intra-frequency layers of higher, equal or lower priority in preparation for possible reselection</w:t>
            </w:r>
          </w:p>
          <w:p w14:paraId="1ACC769A" w14:textId="77777777" w:rsidR="00274312" w:rsidRPr="00ED048A" w:rsidRDefault="00274312" w:rsidP="00274312">
            <w:pPr>
              <w:pStyle w:val="ad"/>
              <w:numPr>
                <w:ilvl w:val="0"/>
                <w:numId w:val="3"/>
              </w:numPr>
              <w:spacing w:after="120"/>
              <w:ind w:leftChars="0" w:hanging="357"/>
              <w:rPr>
                <w:rFonts w:eastAsia="SimSun"/>
              </w:rPr>
            </w:pPr>
            <w:r w:rsidRPr="00ED048A">
              <w:rPr>
                <w:rFonts w:eastAsia="SimSun" w:hint="eastAsia"/>
              </w:rPr>
              <w:t>O</w:t>
            </w:r>
            <w:r w:rsidRPr="00ED048A">
              <w:rPr>
                <w:rFonts w:eastAsia="SimSun"/>
              </w:rPr>
              <w:t>ption 2: RSRP measurement can be ignored by ATG UE when the distance satisfies a specific condition.</w:t>
            </w:r>
          </w:p>
          <w:p w14:paraId="30EEA93E" w14:textId="77777777" w:rsidR="00274312" w:rsidRPr="00ED048A" w:rsidRDefault="00274312" w:rsidP="00274312">
            <w:pPr>
              <w:pStyle w:val="ad"/>
              <w:numPr>
                <w:ilvl w:val="1"/>
                <w:numId w:val="3"/>
              </w:numPr>
              <w:spacing w:after="120"/>
              <w:ind w:leftChars="0"/>
              <w:rPr>
                <w:rFonts w:eastAsia="SimSun"/>
              </w:rPr>
            </w:pPr>
            <w:r w:rsidRPr="00ED048A">
              <w:rPr>
                <w:rFonts w:eastAsia="SimSun"/>
              </w:rPr>
              <w:t>The UE is allowed to not perform neighbour cell measurements based on the distance between the aircraft and a reference location, details are of the reference location is FFS.</w:t>
            </w:r>
          </w:p>
          <w:p w14:paraId="4EDF8B4F" w14:textId="77777777" w:rsidR="00274312" w:rsidRPr="00ED048A" w:rsidRDefault="00274312" w:rsidP="00274312">
            <w:pPr>
              <w:pStyle w:val="ad"/>
              <w:numPr>
                <w:ilvl w:val="1"/>
                <w:numId w:val="3"/>
              </w:numPr>
              <w:spacing w:after="120"/>
              <w:ind w:leftChars="0"/>
              <w:rPr>
                <w:rFonts w:eastAsia="SimSun"/>
              </w:rPr>
            </w:pPr>
            <w:r w:rsidRPr="00ED048A">
              <w:rPr>
                <w:rFonts w:eastAsia="SimSun"/>
              </w:rPr>
              <w:t>For cell reselection, the A2G UE should resume the neighbor cell measurement in normal manner without any relaxation when the condition on distance between the aircraft and the reference location is no longer met.</w:t>
            </w:r>
          </w:p>
          <w:p w14:paraId="70F04318" w14:textId="77777777" w:rsidR="00274312" w:rsidRPr="00ED048A" w:rsidRDefault="00274312" w:rsidP="00274312">
            <w:pPr>
              <w:pStyle w:val="ad"/>
              <w:numPr>
                <w:ilvl w:val="0"/>
                <w:numId w:val="3"/>
              </w:numPr>
              <w:spacing w:after="120"/>
              <w:ind w:leftChars="0" w:hanging="357"/>
              <w:rPr>
                <w:rFonts w:eastAsia="SimSun"/>
              </w:rPr>
            </w:pPr>
            <w:r w:rsidRPr="00ED048A">
              <w:rPr>
                <w:rFonts w:eastAsia="SimSun"/>
              </w:rPr>
              <w:t>Option 3: further consider the trade-off between the workload and performance gain brought by the new cell re-selection mechanisms.</w:t>
            </w:r>
          </w:p>
          <w:p w14:paraId="4C4AD10D" w14:textId="77777777" w:rsidR="00274312" w:rsidRPr="00ED048A" w:rsidRDefault="00274312" w:rsidP="00274312">
            <w:pPr>
              <w:pStyle w:val="ad"/>
              <w:numPr>
                <w:ilvl w:val="1"/>
                <w:numId w:val="3"/>
              </w:numPr>
              <w:spacing w:after="120"/>
              <w:ind w:leftChars="0"/>
              <w:rPr>
                <w:rFonts w:eastAsia="SimSun"/>
              </w:rPr>
            </w:pPr>
            <w:r w:rsidRPr="00ED048A">
              <w:rPr>
                <w:rFonts w:eastAsia="SimSun"/>
              </w:rPr>
              <w:t>The distance, altitude or speed based triggered cell re-selection may not be necessary unless there is an obvious motivation.</w:t>
            </w:r>
          </w:p>
          <w:p w14:paraId="585BCDB7" w14:textId="77777777" w:rsidR="00274312" w:rsidRDefault="00274312" w:rsidP="00274312">
            <w:pPr>
              <w:rPr>
                <w:b/>
                <w:u w:val="single"/>
                <w:lang w:eastAsia="ko-KR"/>
              </w:rPr>
            </w:pPr>
            <w:r w:rsidRPr="00ED048A">
              <w:rPr>
                <w:b/>
                <w:u w:val="single"/>
                <w:lang w:eastAsia="ko-KR"/>
              </w:rPr>
              <w:t>Issue 2-2-2: Conditional Handover</w:t>
            </w:r>
          </w:p>
          <w:p w14:paraId="54EFB98D" w14:textId="77777777" w:rsidR="00274312" w:rsidRPr="00687DB2" w:rsidRDefault="00274312" w:rsidP="00274312">
            <w:pPr>
              <w:spacing w:after="60"/>
              <w:rPr>
                <w:rFonts w:eastAsiaTheme="minorEastAsia"/>
                <w:iCs/>
              </w:rPr>
            </w:pPr>
            <w:r w:rsidRPr="00687DB2">
              <w:rPr>
                <w:rFonts w:eastAsiaTheme="minorEastAsia" w:hint="eastAsia"/>
                <w:iCs/>
              </w:rPr>
              <w:t xml:space="preserve">Agreement: </w:t>
            </w:r>
          </w:p>
          <w:p w14:paraId="0BAE286C" w14:textId="77777777" w:rsidR="00274312" w:rsidRPr="00687DB2" w:rsidRDefault="00274312" w:rsidP="00274312">
            <w:pPr>
              <w:pStyle w:val="ad"/>
              <w:numPr>
                <w:ilvl w:val="0"/>
                <w:numId w:val="3"/>
              </w:numPr>
              <w:spacing w:after="120"/>
              <w:ind w:leftChars="0" w:hanging="357"/>
              <w:rPr>
                <w:rFonts w:eastAsia="SimSun"/>
              </w:rPr>
            </w:pPr>
            <w:r w:rsidRPr="00687DB2">
              <w:rPr>
                <w:rFonts w:eastAsia="SimSun"/>
              </w:rPr>
              <w:t>Introduce legacy CHO for ATG</w:t>
            </w:r>
          </w:p>
          <w:p w14:paraId="335174AD" w14:textId="77777777" w:rsidR="00274312" w:rsidRPr="00687DB2" w:rsidRDefault="00274312" w:rsidP="00274312">
            <w:pPr>
              <w:pStyle w:val="ad"/>
              <w:numPr>
                <w:ilvl w:val="1"/>
                <w:numId w:val="3"/>
              </w:numPr>
              <w:spacing w:after="120"/>
              <w:ind w:leftChars="0"/>
              <w:rPr>
                <w:rFonts w:eastAsia="SimSun"/>
              </w:rPr>
            </w:pPr>
            <w:r w:rsidRPr="00687DB2">
              <w:rPr>
                <w:rFonts w:eastAsia="SimSun"/>
              </w:rPr>
              <w:t xml:space="preserve">The legacy R16 CHO delay requirements can be reused. </w:t>
            </w:r>
          </w:p>
          <w:p w14:paraId="56F5E896" w14:textId="77777777" w:rsidR="00274312" w:rsidRPr="00687DB2" w:rsidRDefault="00274312" w:rsidP="00274312">
            <w:pPr>
              <w:pStyle w:val="ad"/>
              <w:numPr>
                <w:ilvl w:val="1"/>
                <w:numId w:val="3"/>
              </w:numPr>
              <w:spacing w:after="120"/>
              <w:ind w:leftChars="0"/>
              <w:rPr>
                <w:rFonts w:eastAsia="SimSun"/>
              </w:rPr>
            </w:pPr>
            <w:r w:rsidRPr="00687DB2">
              <w:rPr>
                <w:rFonts w:eastAsia="SimSun" w:hint="eastAsia"/>
              </w:rPr>
              <w:t>Optional feature for ATG</w:t>
            </w:r>
          </w:p>
          <w:p w14:paraId="32E8B73B" w14:textId="77777777" w:rsidR="00274312" w:rsidRPr="00687DB2" w:rsidRDefault="00274312" w:rsidP="00274312">
            <w:pPr>
              <w:pStyle w:val="ad"/>
              <w:numPr>
                <w:ilvl w:val="0"/>
                <w:numId w:val="3"/>
              </w:numPr>
              <w:spacing w:after="120"/>
              <w:ind w:leftChars="0" w:hanging="357"/>
              <w:rPr>
                <w:rFonts w:eastAsia="SimSun"/>
              </w:rPr>
            </w:pPr>
            <w:r w:rsidRPr="00687DB2">
              <w:rPr>
                <w:rFonts w:eastAsia="SimSun" w:hint="eastAsia"/>
              </w:rPr>
              <w:t xml:space="preserve">FFS on </w:t>
            </w:r>
            <w:r w:rsidRPr="00687DB2">
              <w:rPr>
                <w:rFonts w:eastAsia="SimSun"/>
              </w:rPr>
              <w:t>location-based CHO for ATG</w:t>
            </w:r>
          </w:p>
          <w:p w14:paraId="24CA2C20" w14:textId="77777777" w:rsidR="00274312" w:rsidRPr="00687DB2" w:rsidRDefault="00274312" w:rsidP="00274312">
            <w:pPr>
              <w:pStyle w:val="ad"/>
              <w:numPr>
                <w:ilvl w:val="1"/>
                <w:numId w:val="3"/>
              </w:numPr>
              <w:spacing w:after="120"/>
              <w:ind w:leftChars="0"/>
              <w:rPr>
                <w:rFonts w:eastAsia="SimSun"/>
              </w:rPr>
            </w:pPr>
            <w:r w:rsidRPr="00687DB2">
              <w:rPr>
                <w:rFonts w:eastAsia="SimSun"/>
              </w:rPr>
              <w:t xml:space="preserve">The </w:t>
            </w:r>
            <w:r w:rsidRPr="00687DB2">
              <w:rPr>
                <w:rFonts w:eastAsia="SimSun" w:hint="eastAsia"/>
              </w:rPr>
              <w:t>procedure</w:t>
            </w:r>
            <w:r w:rsidRPr="00687DB2">
              <w:rPr>
                <w:rFonts w:eastAsia="SimSun"/>
              </w:rPr>
              <w:t xml:space="preserve"> and signalling from R17 NTN (RSRP+ location- based CHO) could be reused, while the location-based CHO delay requirements should be revisited in ATG scenario.</w:t>
            </w:r>
          </w:p>
          <w:p w14:paraId="7B0B8B5B" w14:textId="77777777" w:rsidR="00274312" w:rsidRPr="00687DB2" w:rsidRDefault="00274312" w:rsidP="00274312">
            <w:pPr>
              <w:pStyle w:val="ad"/>
              <w:numPr>
                <w:ilvl w:val="1"/>
                <w:numId w:val="3"/>
              </w:numPr>
              <w:spacing w:after="120"/>
              <w:ind w:leftChars="0"/>
              <w:rPr>
                <w:rFonts w:eastAsia="SimSun"/>
              </w:rPr>
            </w:pPr>
            <w:r w:rsidRPr="00687DB2">
              <w:rPr>
                <w:rFonts w:eastAsia="SimSun"/>
              </w:rPr>
              <w:t>Clarification</w:t>
            </w:r>
            <w:r w:rsidRPr="00687DB2">
              <w:rPr>
                <w:rFonts w:eastAsia="SimSun" w:hint="eastAsia"/>
              </w:rPr>
              <w:t xml:space="preserve"> on reference location is needed</w:t>
            </w:r>
          </w:p>
          <w:p w14:paraId="61A441B2" w14:textId="20678E7B" w:rsidR="0013076C" w:rsidRPr="00274312" w:rsidRDefault="00274312" w:rsidP="00274312">
            <w:pPr>
              <w:pStyle w:val="ad"/>
              <w:numPr>
                <w:ilvl w:val="1"/>
                <w:numId w:val="3"/>
              </w:numPr>
              <w:spacing w:after="120"/>
              <w:ind w:leftChars="0"/>
              <w:rPr>
                <w:lang w:val="en-US" w:eastAsia="ko-KR"/>
              </w:rPr>
            </w:pPr>
            <w:r w:rsidRPr="00687DB2">
              <w:rPr>
                <w:rFonts w:eastAsia="SimSun" w:hint="eastAsia"/>
              </w:rPr>
              <w:t>Optional feature for ATG</w:t>
            </w:r>
          </w:p>
        </w:tc>
      </w:tr>
    </w:tbl>
    <w:p w14:paraId="336E990E" w14:textId="78CE8DF7" w:rsidR="00FF6360" w:rsidRDefault="00274312" w:rsidP="00274312">
      <w:pPr>
        <w:pStyle w:val="a0"/>
        <w:ind w:firstLineChars="50" w:firstLine="100"/>
        <w:jc w:val="both"/>
        <w:rPr>
          <w:lang w:val="en-US" w:eastAsia="ko-KR"/>
        </w:rPr>
      </w:pPr>
      <w:r>
        <w:rPr>
          <w:lang w:val="en-US" w:eastAsia="ko-KR"/>
        </w:rPr>
        <w:lastRenderedPageBreak/>
        <w:t xml:space="preserve">As listed in above, the </w:t>
      </w:r>
      <w:r w:rsidR="00106847">
        <w:rPr>
          <w:lang w:val="en-US" w:eastAsia="ko-KR"/>
        </w:rPr>
        <w:t>distance/</w:t>
      </w:r>
      <w:r>
        <w:rPr>
          <w:lang w:val="en-US" w:eastAsia="ko-KR"/>
        </w:rPr>
        <w:t>location based mobility for Idle/Inactive mode and connected mode were discussed in issue 2-1-1-1 and Issue 2-2-2, respectively.</w:t>
      </w:r>
      <w:r w:rsidR="00741108">
        <w:rPr>
          <w:lang w:val="en-US" w:eastAsia="ko-KR"/>
        </w:rPr>
        <w:t xml:space="preserve"> Some companies have concern that the technical benefit of </w:t>
      </w:r>
      <w:r w:rsidR="00106847">
        <w:rPr>
          <w:lang w:val="en-US" w:eastAsia="ko-KR"/>
        </w:rPr>
        <w:t>the</w:t>
      </w:r>
      <w:r w:rsidR="00741108">
        <w:rPr>
          <w:lang w:val="en-US" w:eastAsia="ko-KR"/>
        </w:rPr>
        <w:t xml:space="preserve"> </w:t>
      </w:r>
      <w:r w:rsidR="001745C9">
        <w:rPr>
          <w:lang w:val="en-US" w:eastAsia="ko-KR"/>
        </w:rPr>
        <w:t>mechanism</w:t>
      </w:r>
      <w:r w:rsidR="00741108">
        <w:rPr>
          <w:lang w:val="en-US" w:eastAsia="ko-KR"/>
        </w:rPr>
        <w:t xml:space="preserve">. However, we think that </w:t>
      </w:r>
      <w:r w:rsidR="00106847">
        <w:rPr>
          <w:lang w:val="en-US" w:eastAsia="ko-KR"/>
        </w:rPr>
        <w:t>distance/</w:t>
      </w:r>
      <w:r w:rsidR="00741108">
        <w:rPr>
          <w:lang w:val="en-US" w:eastAsia="ko-KR"/>
        </w:rPr>
        <w:t>location based mobility</w:t>
      </w:r>
      <w:r w:rsidR="00F51432">
        <w:rPr>
          <w:lang w:val="en-US" w:eastAsia="ko-KR"/>
        </w:rPr>
        <w:t xml:space="preserve"> mechanism</w:t>
      </w:r>
      <w:r w:rsidR="00741108">
        <w:rPr>
          <w:lang w:val="en-US" w:eastAsia="ko-KR"/>
        </w:rPr>
        <w:t xml:space="preserve"> should be introduced in ATG due to blind area of ATG BS. As discussed in RF session, there is a blind area in ATG BS coverage due to limitation of vertical </w:t>
      </w:r>
      <w:r w:rsidR="00A331AE">
        <w:rPr>
          <w:lang w:val="en-US" w:eastAsia="ko-KR"/>
        </w:rPr>
        <w:t xml:space="preserve">antenna </w:t>
      </w:r>
      <w:r w:rsidR="00741108">
        <w:rPr>
          <w:lang w:val="en-US" w:eastAsia="ko-KR"/>
        </w:rPr>
        <w:t>angle beam width and uptilt angle (6.5~14 degree)</w:t>
      </w:r>
      <w:r w:rsidR="00FF6360">
        <w:rPr>
          <w:lang w:val="en-US" w:eastAsia="ko-KR"/>
        </w:rPr>
        <w:t xml:space="preserve"> and the </w:t>
      </w:r>
      <w:r w:rsidR="00FF6360" w:rsidRPr="00FF6360">
        <w:rPr>
          <w:lang w:val="en-US" w:eastAsia="ko-KR"/>
        </w:rPr>
        <w:t xml:space="preserve">blind area of an ATG base station is directly above the </w:t>
      </w:r>
      <w:r w:rsidR="00FF6360">
        <w:rPr>
          <w:lang w:val="en-US" w:eastAsia="ko-KR"/>
        </w:rPr>
        <w:t xml:space="preserve">ATG </w:t>
      </w:r>
      <w:r w:rsidR="00FF6360" w:rsidRPr="00FF6360">
        <w:rPr>
          <w:lang w:val="en-US" w:eastAsia="ko-KR"/>
        </w:rPr>
        <w:t>base station.</w:t>
      </w:r>
    </w:p>
    <w:p w14:paraId="0499B83E" w14:textId="547448A3" w:rsidR="008B689E" w:rsidRDefault="00DC62D4" w:rsidP="008B689E">
      <w:pPr>
        <w:pStyle w:val="a0"/>
        <w:numPr>
          <w:ilvl w:val="0"/>
          <w:numId w:val="23"/>
        </w:numPr>
        <w:jc w:val="both"/>
        <w:rPr>
          <w:lang w:val="en-US" w:eastAsia="ko-KR"/>
        </w:rPr>
      </w:pPr>
      <w:r>
        <w:rPr>
          <w:b/>
          <w:i/>
          <w:lang w:val="en-US" w:eastAsia="ko-KR"/>
        </w:rPr>
        <w:t>Observation</w:t>
      </w:r>
      <w:r w:rsidR="008B689E" w:rsidRPr="009C3D78">
        <w:rPr>
          <w:b/>
          <w:i/>
          <w:lang w:val="en-US" w:eastAsia="ko-KR"/>
        </w:rPr>
        <w:t xml:space="preserve"> 1</w:t>
      </w:r>
      <w:r w:rsidR="008B689E">
        <w:rPr>
          <w:lang w:val="en-US" w:eastAsia="ko-KR"/>
        </w:rPr>
        <w:t xml:space="preserve">. There is </w:t>
      </w:r>
      <w:r w:rsidR="00CB3335">
        <w:rPr>
          <w:lang w:val="en-US" w:eastAsia="ko-KR"/>
        </w:rPr>
        <w:t xml:space="preserve">a </w:t>
      </w:r>
      <w:r w:rsidR="008B689E">
        <w:rPr>
          <w:lang w:val="en-US" w:eastAsia="ko-KR"/>
        </w:rPr>
        <w:t>blind area in ATG BS</w:t>
      </w:r>
      <w:r w:rsidR="00CB3335">
        <w:rPr>
          <w:lang w:val="en-US" w:eastAsia="ko-KR"/>
        </w:rPr>
        <w:t xml:space="preserve"> coverage</w:t>
      </w:r>
      <w:r w:rsidR="008B689E">
        <w:rPr>
          <w:lang w:val="en-US" w:eastAsia="ko-KR"/>
        </w:rPr>
        <w:t xml:space="preserve"> and t</w:t>
      </w:r>
      <w:r w:rsidR="008B689E" w:rsidRPr="008B689E">
        <w:rPr>
          <w:lang w:val="en-US" w:eastAsia="ko-KR"/>
        </w:rPr>
        <w:t xml:space="preserve">he blind area is directly above the </w:t>
      </w:r>
      <w:r w:rsidR="00CB3335">
        <w:rPr>
          <w:lang w:val="en-US" w:eastAsia="ko-KR"/>
        </w:rPr>
        <w:t xml:space="preserve">ATG </w:t>
      </w:r>
      <w:r w:rsidR="001B394E">
        <w:rPr>
          <w:lang w:val="en-US" w:eastAsia="ko-KR"/>
        </w:rPr>
        <w:t>BS</w:t>
      </w:r>
      <w:r w:rsidR="008F43BE">
        <w:rPr>
          <w:lang w:val="en-US" w:eastAsia="ko-KR"/>
        </w:rPr>
        <w:t>.</w:t>
      </w:r>
      <w:r w:rsidR="008B689E" w:rsidRPr="008B689E">
        <w:rPr>
          <w:lang w:val="en-US" w:eastAsia="ko-KR"/>
        </w:rPr>
        <w:t xml:space="preserve"> </w:t>
      </w:r>
    </w:p>
    <w:p w14:paraId="708251C5" w14:textId="65BE108D" w:rsidR="00A50999" w:rsidRDefault="00741108" w:rsidP="00274312">
      <w:pPr>
        <w:pStyle w:val="a0"/>
        <w:ind w:firstLineChars="50" w:firstLine="100"/>
        <w:jc w:val="both"/>
        <w:rPr>
          <w:lang w:val="en-US" w:eastAsia="ko-KR"/>
        </w:rPr>
      </w:pPr>
      <w:r>
        <w:rPr>
          <w:lang w:val="en-US" w:eastAsia="ko-KR"/>
        </w:rPr>
        <w:t xml:space="preserve">If a UE is in the beam width, </w:t>
      </w:r>
      <w:r w:rsidR="00A50999">
        <w:rPr>
          <w:lang w:val="en-US" w:eastAsia="ko-KR"/>
        </w:rPr>
        <w:t xml:space="preserve">the </w:t>
      </w:r>
      <w:r>
        <w:rPr>
          <w:lang w:val="en-US" w:eastAsia="ko-KR"/>
        </w:rPr>
        <w:t xml:space="preserve">near-far effect is clearly observed depending on the distance between </w:t>
      </w:r>
      <w:r w:rsidR="00110EC9">
        <w:rPr>
          <w:lang w:val="en-US" w:eastAsia="ko-KR"/>
        </w:rPr>
        <w:t xml:space="preserve">ATG BS </w:t>
      </w:r>
      <w:r>
        <w:rPr>
          <w:lang w:val="en-US" w:eastAsia="ko-KR"/>
        </w:rPr>
        <w:t xml:space="preserve">and UE. However, </w:t>
      </w:r>
      <w:r w:rsidR="00A50999">
        <w:rPr>
          <w:rFonts w:hint="eastAsia"/>
          <w:lang w:val="en-US" w:eastAsia="ko-KR"/>
        </w:rPr>
        <w:t>i</w:t>
      </w:r>
      <w:r w:rsidR="00A50999" w:rsidRPr="00A50999">
        <w:rPr>
          <w:lang w:val="en-US" w:eastAsia="ko-KR"/>
        </w:rPr>
        <w:t xml:space="preserve">f the UE moves out of the beam </w:t>
      </w:r>
      <w:r w:rsidR="00A50999">
        <w:rPr>
          <w:lang w:val="en-US" w:eastAsia="ko-KR"/>
        </w:rPr>
        <w:t>width</w:t>
      </w:r>
      <w:r w:rsidR="00A50999" w:rsidRPr="00A50999">
        <w:rPr>
          <w:lang w:val="en-US" w:eastAsia="ko-KR"/>
        </w:rPr>
        <w:t>, the near-far effect is not clearly observed</w:t>
      </w:r>
      <w:r w:rsidR="00A50999">
        <w:rPr>
          <w:lang w:val="en-US" w:eastAsia="ko-KR"/>
        </w:rPr>
        <w:t xml:space="preserve"> as like the NTN UE in NTN coverage.</w:t>
      </w:r>
    </w:p>
    <w:p w14:paraId="6FBF1DC4" w14:textId="0459AA98" w:rsidR="00CC6AD6" w:rsidRDefault="00CC6AD6" w:rsidP="00CC6AD6">
      <w:pPr>
        <w:pStyle w:val="a0"/>
        <w:numPr>
          <w:ilvl w:val="0"/>
          <w:numId w:val="23"/>
        </w:numPr>
        <w:jc w:val="both"/>
        <w:rPr>
          <w:lang w:val="en-US" w:eastAsia="ko-KR"/>
        </w:rPr>
      </w:pPr>
      <w:r>
        <w:rPr>
          <w:b/>
          <w:i/>
          <w:lang w:val="en-US" w:eastAsia="ko-KR"/>
        </w:rPr>
        <w:t>Observation</w:t>
      </w:r>
      <w:r w:rsidRPr="009C3D78">
        <w:rPr>
          <w:b/>
          <w:i/>
          <w:lang w:val="en-US" w:eastAsia="ko-KR"/>
        </w:rPr>
        <w:t xml:space="preserve"> </w:t>
      </w:r>
      <w:r>
        <w:rPr>
          <w:b/>
          <w:i/>
          <w:lang w:val="en-US" w:eastAsia="ko-KR"/>
        </w:rPr>
        <w:t>2</w:t>
      </w:r>
      <w:r>
        <w:rPr>
          <w:lang w:val="en-US" w:eastAsia="ko-KR"/>
        </w:rPr>
        <w:t>. T</w:t>
      </w:r>
      <w:r w:rsidRPr="00A50999">
        <w:rPr>
          <w:lang w:val="en-US" w:eastAsia="ko-KR"/>
        </w:rPr>
        <w:t>he near-far effect is not clearly observed</w:t>
      </w:r>
      <w:r>
        <w:rPr>
          <w:lang w:val="en-US" w:eastAsia="ko-KR"/>
        </w:rPr>
        <w:t xml:space="preserve"> when UE in beam-width moves out of the beam width.</w:t>
      </w:r>
      <w:r w:rsidRPr="008B689E">
        <w:rPr>
          <w:lang w:val="en-US" w:eastAsia="ko-KR"/>
        </w:rPr>
        <w:t xml:space="preserve"> </w:t>
      </w:r>
    </w:p>
    <w:p w14:paraId="6CB3165E" w14:textId="28A526E3" w:rsidR="00FD5F8C" w:rsidRDefault="001803BA" w:rsidP="00274312">
      <w:pPr>
        <w:pStyle w:val="a0"/>
        <w:ind w:firstLineChars="50" w:firstLine="100"/>
        <w:jc w:val="both"/>
        <w:rPr>
          <w:lang w:val="en-US" w:eastAsia="ko-KR"/>
        </w:rPr>
      </w:pPr>
      <w:r>
        <w:rPr>
          <w:lang w:val="en-US" w:eastAsia="ko-KR"/>
        </w:rPr>
        <w:t>Also, s</w:t>
      </w:r>
      <w:r w:rsidR="00CC6AD6">
        <w:rPr>
          <w:lang w:val="en-US" w:eastAsia="ko-KR"/>
        </w:rPr>
        <w:t xml:space="preserve">ince the blind area is directly above the ATG BS, ATG UE can obtain/assume blind area if UE has knowledge of BS location. And ATG UE can obtain location </w:t>
      </w:r>
      <w:r w:rsidR="0015420F">
        <w:rPr>
          <w:lang w:val="en-US" w:eastAsia="ko-KR"/>
        </w:rPr>
        <w:t xml:space="preserve">of </w:t>
      </w:r>
      <w:r w:rsidR="00CC6AD6">
        <w:rPr>
          <w:lang w:val="en-US" w:eastAsia="ko-KR"/>
        </w:rPr>
        <w:t>ATG BS as discussed in RF session and LS [2].</w:t>
      </w:r>
      <w:r w:rsidR="00FD5F8C">
        <w:rPr>
          <w:lang w:val="en-US" w:eastAsia="ko-KR"/>
        </w:rPr>
        <w:t xml:space="preserve"> </w:t>
      </w:r>
      <w:r>
        <w:rPr>
          <w:lang w:val="en-US" w:eastAsia="ko-KR"/>
        </w:rPr>
        <w:t>So, we think the location based mobility mechanism in NTN needs to be considered in ATG NW with minimal change of legacy systems.</w:t>
      </w:r>
    </w:p>
    <w:p w14:paraId="2F8F7E58" w14:textId="4C44782D" w:rsidR="00740E26" w:rsidRDefault="00740E26" w:rsidP="00740E26">
      <w:pPr>
        <w:pStyle w:val="a0"/>
        <w:numPr>
          <w:ilvl w:val="0"/>
          <w:numId w:val="23"/>
        </w:numPr>
        <w:jc w:val="both"/>
        <w:rPr>
          <w:lang w:val="en-US" w:eastAsia="ko-KR"/>
        </w:rPr>
      </w:pPr>
      <w:r w:rsidRPr="009C3D78">
        <w:rPr>
          <w:b/>
          <w:i/>
          <w:lang w:val="en-US" w:eastAsia="ko-KR"/>
        </w:rPr>
        <w:t>Proposal 1</w:t>
      </w:r>
      <w:r>
        <w:rPr>
          <w:lang w:val="en-US" w:eastAsia="ko-KR"/>
        </w:rPr>
        <w:t xml:space="preserve">. </w:t>
      </w:r>
      <w:r w:rsidR="001A1A70">
        <w:rPr>
          <w:lang w:val="en-US" w:eastAsia="ko-KR"/>
        </w:rPr>
        <w:t>For cell reselection mechanism,</w:t>
      </w:r>
      <w:r w:rsidR="00106847">
        <w:rPr>
          <w:lang w:val="en-US" w:eastAsia="ko-KR"/>
        </w:rPr>
        <w:t xml:space="preserve"> following </w:t>
      </w:r>
      <w:r w:rsidR="00D9628D">
        <w:rPr>
          <w:lang w:val="en-US" w:eastAsia="ko-KR"/>
        </w:rPr>
        <w:t>distance</w:t>
      </w:r>
      <w:r w:rsidR="00106847">
        <w:rPr>
          <w:lang w:val="en-US" w:eastAsia="ko-KR"/>
        </w:rPr>
        <w:t xml:space="preserve"> based mechanism </w:t>
      </w:r>
      <w:r w:rsidR="00A9200F">
        <w:rPr>
          <w:lang w:val="en-US" w:eastAsia="ko-KR"/>
        </w:rPr>
        <w:t xml:space="preserve">shall be considered </w:t>
      </w:r>
      <w:r w:rsidR="00106847">
        <w:rPr>
          <w:lang w:val="en-US" w:eastAsia="ko-KR"/>
        </w:rPr>
        <w:t>together with legacy RSRP based reselection</w:t>
      </w:r>
      <w:r w:rsidR="00A9200F">
        <w:rPr>
          <w:lang w:val="en-US" w:eastAsia="ko-KR"/>
        </w:rPr>
        <w:t xml:space="preserve"> </w:t>
      </w:r>
      <w:r w:rsidR="00925F3E">
        <w:rPr>
          <w:lang w:val="en-US" w:eastAsia="ko-KR"/>
        </w:rPr>
        <w:t>since t</w:t>
      </w:r>
      <w:r w:rsidR="00925F3E" w:rsidRPr="00A50999">
        <w:rPr>
          <w:lang w:val="en-US" w:eastAsia="ko-KR"/>
        </w:rPr>
        <w:t>he near-far effect is not clearly observed</w:t>
      </w:r>
      <w:r w:rsidR="00A9200F">
        <w:rPr>
          <w:lang w:val="en-US" w:eastAsia="ko-KR"/>
        </w:rPr>
        <w:t xml:space="preserve"> </w:t>
      </w:r>
      <w:r w:rsidR="00925F3E">
        <w:rPr>
          <w:lang w:val="en-US" w:eastAsia="ko-KR"/>
        </w:rPr>
        <w:t>in</w:t>
      </w:r>
      <w:r w:rsidR="00A9200F">
        <w:rPr>
          <w:lang w:val="en-US" w:eastAsia="ko-KR"/>
        </w:rPr>
        <w:t xml:space="preserve"> blind area ATG BS</w:t>
      </w:r>
      <w:r w:rsidR="00925F3E">
        <w:rPr>
          <w:lang w:val="en-US" w:eastAsia="ko-KR"/>
        </w:rPr>
        <w:t>.</w:t>
      </w:r>
    </w:p>
    <w:p w14:paraId="6C2BEE57" w14:textId="531FE2B9" w:rsidR="004A69A6" w:rsidRDefault="004A69A6" w:rsidP="004A69A6">
      <w:pPr>
        <w:pStyle w:val="ad"/>
        <w:numPr>
          <w:ilvl w:val="1"/>
          <w:numId w:val="23"/>
        </w:numPr>
        <w:spacing w:after="120"/>
        <w:ind w:leftChars="0"/>
      </w:pPr>
      <w:r>
        <w:t>If t</w:t>
      </w:r>
      <w:r w:rsidRPr="00ED048A">
        <w:t xml:space="preserve">he distance between UE and </w:t>
      </w:r>
      <w:r>
        <w:t>BS l</w:t>
      </w:r>
      <w:r w:rsidRPr="00ED048A">
        <w:t xml:space="preserve">ocation is smaller than </w:t>
      </w:r>
      <w:r w:rsidRPr="004A69A6">
        <w:rPr>
          <w:b/>
          <w:bCs/>
          <w:u w:val="single"/>
        </w:rPr>
        <w:t>threshold for blind area</w:t>
      </w:r>
      <w:r>
        <w:t xml:space="preserve">, </w:t>
      </w:r>
      <w:r w:rsidRPr="004A69A6">
        <w:t>UE shall search for and measure inter/intra-frequency layers of higher, equal or lower priority in preparation for possible reselection</w:t>
      </w:r>
      <w:r>
        <w:t xml:space="preserve"> </w:t>
      </w:r>
      <w:r w:rsidRPr="00ED048A">
        <w:t>in preparation for possible reselection</w:t>
      </w:r>
    </w:p>
    <w:p w14:paraId="06D409B3" w14:textId="79A5F61F" w:rsidR="004A69A6" w:rsidRDefault="004A69A6" w:rsidP="004A69A6">
      <w:pPr>
        <w:pStyle w:val="ad"/>
        <w:numPr>
          <w:ilvl w:val="1"/>
          <w:numId w:val="23"/>
        </w:numPr>
        <w:spacing w:after="120"/>
        <w:ind w:leftChars="0"/>
      </w:pPr>
      <w:r>
        <w:t>If t</w:t>
      </w:r>
      <w:r w:rsidRPr="00ED048A">
        <w:t xml:space="preserve">he distance between UE and </w:t>
      </w:r>
      <w:r>
        <w:t>BS l</w:t>
      </w:r>
      <w:r w:rsidRPr="00ED048A">
        <w:t xml:space="preserve">ocation is </w:t>
      </w:r>
      <w:r>
        <w:t>larger</w:t>
      </w:r>
      <w:r w:rsidRPr="00ED048A">
        <w:t xml:space="preserve"> than </w:t>
      </w:r>
      <w:r w:rsidRPr="004A69A6">
        <w:rPr>
          <w:b/>
          <w:bCs/>
          <w:u w:val="single"/>
        </w:rPr>
        <w:t>threshold for blind area</w:t>
      </w:r>
      <w:r>
        <w:rPr>
          <w:b/>
          <w:bCs/>
          <w:u w:val="single"/>
        </w:rPr>
        <w:t xml:space="preserve"> </w:t>
      </w:r>
      <w:r w:rsidRPr="004A69A6">
        <w:t>and smaller than distanceThresh</w:t>
      </w:r>
      <w:r>
        <w:t xml:space="preserve">, </w:t>
      </w:r>
      <w:r w:rsidRPr="00ED048A">
        <w:t>the UE shall search for inter/intra-frequency layers of higher priority.</w:t>
      </w:r>
    </w:p>
    <w:p w14:paraId="1E68FA13" w14:textId="54DD89F0" w:rsidR="004A69A6" w:rsidRPr="00ED048A" w:rsidRDefault="004A69A6" w:rsidP="004A69A6">
      <w:pPr>
        <w:pStyle w:val="ad"/>
        <w:numPr>
          <w:ilvl w:val="1"/>
          <w:numId w:val="23"/>
        </w:numPr>
        <w:spacing w:after="120"/>
        <w:ind w:leftChars="0"/>
      </w:pPr>
      <w:r w:rsidRPr="00ED048A">
        <w:t>If the distance between UE and serving cell reference location is larger than distanceThresh</w:t>
      </w:r>
      <w:r>
        <w:t>,</w:t>
      </w:r>
      <w:r w:rsidRPr="00ED048A">
        <w:t xml:space="preserve"> UE shall search for and measure inter/intra-frequency layers of higher, equal or lower priority in preparation for possible reselection</w:t>
      </w:r>
    </w:p>
    <w:p w14:paraId="29BB529B" w14:textId="0E496DD3" w:rsidR="004862E8" w:rsidRPr="00D9628D" w:rsidRDefault="00D9628D" w:rsidP="00D9628D">
      <w:pPr>
        <w:pStyle w:val="a0"/>
        <w:numPr>
          <w:ilvl w:val="0"/>
          <w:numId w:val="23"/>
        </w:numPr>
        <w:jc w:val="both"/>
        <w:rPr>
          <w:b/>
          <w:sz w:val="24"/>
          <w:u w:val="single"/>
          <w:lang w:eastAsia="ko-KR"/>
        </w:rPr>
      </w:pPr>
      <w:r w:rsidRPr="009C3D78">
        <w:rPr>
          <w:b/>
          <w:i/>
          <w:lang w:val="en-US" w:eastAsia="ko-KR"/>
        </w:rPr>
        <w:t xml:space="preserve">Proposal </w:t>
      </w:r>
      <w:r>
        <w:rPr>
          <w:b/>
          <w:i/>
          <w:lang w:val="en-US" w:eastAsia="ko-KR"/>
        </w:rPr>
        <w:t>2</w:t>
      </w:r>
      <w:r>
        <w:rPr>
          <w:lang w:val="en-US" w:eastAsia="ko-KR"/>
        </w:rPr>
        <w:t xml:space="preserve">. </w:t>
      </w:r>
      <w:r w:rsidR="00EF17D6">
        <w:rPr>
          <w:lang w:val="en-US" w:eastAsia="ko-KR"/>
        </w:rPr>
        <w:t>Using BS location information and UE location information, CHO can be used for</w:t>
      </w:r>
      <w:r>
        <w:rPr>
          <w:lang w:val="en-US" w:eastAsia="ko-KR"/>
        </w:rPr>
        <w:t xml:space="preserve"> UE located on the blind area</w:t>
      </w:r>
      <w:r w:rsidR="00EF17D6">
        <w:rPr>
          <w:lang w:val="en-US" w:eastAsia="ko-KR"/>
        </w:rPr>
        <w:t xml:space="preserve"> of ATG BS. </w:t>
      </w:r>
    </w:p>
    <w:p w14:paraId="1CF14F05" w14:textId="77777777" w:rsidR="001171FA" w:rsidRDefault="001171FA" w:rsidP="00D4523D">
      <w:pPr>
        <w:pStyle w:val="1"/>
        <w:jc w:val="both"/>
        <w:rPr>
          <w:lang w:val="en-US" w:eastAsia="ko-KR"/>
        </w:rPr>
      </w:pPr>
      <w:r>
        <w:rPr>
          <w:rFonts w:hint="eastAsia"/>
          <w:lang w:val="en-US" w:eastAsia="ko-KR"/>
        </w:rPr>
        <w:t xml:space="preserve">Conclusion </w:t>
      </w:r>
    </w:p>
    <w:p w14:paraId="70714562" w14:textId="2836720F" w:rsidR="00BD4C77" w:rsidRDefault="00552F63" w:rsidP="003F345F">
      <w:pPr>
        <w:pStyle w:val="a0"/>
        <w:jc w:val="both"/>
        <w:rPr>
          <w:lang w:val="en-US" w:eastAsia="ko-KR"/>
        </w:rPr>
      </w:pPr>
      <w:r>
        <w:rPr>
          <w:rFonts w:hint="eastAsia"/>
          <w:lang w:val="en-US" w:eastAsia="ko-KR"/>
        </w:rPr>
        <w:t xml:space="preserve">In this contribution, </w:t>
      </w:r>
      <w:r w:rsidR="0062418F">
        <w:rPr>
          <w:lang w:val="en-US" w:eastAsia="ko-KR"/>
        </w:rPr>
        <w:t>our proposal</w:t>
      </w:r>
      <w:r w:rsidR="009A1483">
        <w:rPr>
          <w:lang w:val="en-US" w:eastAsia="ko-KR"/>
        </w:rPr>
        <w:t>s</w:t>
      </w:r>
      <w:r w:rsidR="0062418F">
        <w:rPr>
          <w:lang w:val="en-US" w:eastAsia="ko-KR"/>
        </w:rPr>
        <w:t xml:space="preserve"> </w:t>
      </w:r>
      <w:r w:rsidR="00953F68">
        <w:rPr>
          <w:rFonts w:hint="eastAsia"/>
          <w:lang w:val="en-US" w:eastAsia="ko-KR"/>
        </w:rPr>
        <w:t>a</w:t>
      </w:r>
      <w:r w:rsidR="00953F68">
        <w:rPr>
          <w:lang w:val="en-US" w:eastAsia="ko-KR"/>
        </w:rPr>
        <w:t xml:space="preserve">re </w:t>
      </w:r>
      <w:r w:rsidR="0062418F">
        <w:rPr>
          <w:lang w:val="en-US" w:eastAsia="ko-KR"/>
        </w:rPr>
        <w:t>provided as follows:</w:t>
      </w:r>
    </w:p>
    <w:p w14:paraId="57BEFF1A" w14:textId="1B309983" w:rsidR="004F2971" w:rsidRPr="004F2971" w:rsidRDefault="004F2971" w:rsidP="004F2971">
      <w:pPr>
        <w:pStyle w:val="a0"/>
        <w:numPr>
          <w:ilvl w:val="0"/>
          <w:numId w:val="24"/>
        </w:numPr>
        <w:jc w:val="both"/>
        <w:rPr>
          <w:bCs/>
          <w:iCs/>
          <w:lang w:val="en-US" w:eastAsia="ko-KR"/>
        </w:rPr>
      </w:pPr>
      <w:r>
        <w:rPr>
          <w:b/>
          <w:i/>
          <w:lang w:val="en-US" w:eastAsia="ko-KR"/>
        </w:rPr>
        <w:t>Observation</w:t>
      </w:r>
      <w:r w:rsidRPr="009C3D78">
        <w:rPr>
          <w:b/>
          <w:i/>
          <w:lang w:val="en-US" w:eastAsia="ko-KR"/>
        </w:rPr>
        <w:t xml:space="preserve"> 1</w:t>
      </w:r>
      <w:r w:rsidRPr="004F2971">
        <w:rPr>
          <w:b/>
          <w:i/>
          <w:lang w:val="en-US" w:eastAsia="ko-KR"/>
        </w:rPr>
        <w:t xml:space="preserve">. </w:t>
      </w:r>
      <w:r w:rsidRPr="004F2971">
        <w:rPr>
          <w:bCs/>
          <w:iCs/>
          <w:lang w:val="en-US" w:eastAsia="ko-KR"/>
        </w:rPr>
        <w:t>There is a blind area in ATG BS coverage and the blind area is directly above the ATG BS.</w:t>
      </w:r>
    </w:p>
    <w:p w14:paraId="54DA0CD9" w14:textId="77777777" w:rsidR="004F2971" w:rsidRDefault="004F2971" w:rsidP="004F2971">
      <w:pPr>
        <w:pStyle w:val="a0"/>
        <w:numPr>
          <w:ilvl w:val="0"/>
          <w:numId w:val="23"/>
        </w:numPr>
        <w:jc w:val="both"/>
        <w:rPr>
          <w:lang w:val="en-US" w:eastAsia="ko-KR"/>
        </w:rPr>
      </w:pPr>
      <w:r>
        <w:rPr>
          <w:b/>
          <w:i/>
          <w:lang w:val="en-US" w:eastAsia="ko-KR"/>
        </w:rPr>
        <w:t>Observation</w:t>
      </w:r>
      <w:r w:rsidRPr="009C3D78">
        <w:rPr>
          <w:b/>
          <w:i/>
          <w:lang w:val="en-US" w:eastAsia="ko-KR"/>
        </w:rPr>
        <w:t xml:space="preserve"> </w:t>
      </w:r>
      <w:r>
        <w:rPr>
          <w:b/>
          <w:i/>
          <w:lang w:val="en-US" w:eastAsia="ko-KR"/>
        </w:rPr>
        <w:t>2</w:t>
      </w:r>
      <w:r>
        <w:rPr>
          <w:lang w:val="en-US" w:eastAsia="ko-KR"/>
        </w:rPr>
        <w:t>. T</w:t>
      </w:r>
      <w:r w:rsidRPr="00A50999">
        <w:rPr>
          <w:lang w:val="en-US" w:eastAsia="ko-KR"/>
        </w:rPr>
        <w:t>he near-far effect is not clearly observed</w:t>
      </w:r>
      <w:r>
        <w:rPr>
          <w:lang w:val="en-US" w:eastAsia="ko-KR"/>
        </w:rPr>
        <w:t xml:space="preserve"> when UE in beam-width moves out of the beam width.</w:t>
      </w:r>
      <w:r w:rsidRPr="008B689E">
        <w:rPr>
          <w:lang w:val="en-US" w:eastAsia="ko-KR"/>
        </w:rPr>
        <w:t xml:space="preserve"> </w:t>
      </w:r>
    </w:p>
    <w:p w14:paraId="742107F8" w14:textId="77777777" w:rsidR="004F2971" w:rsidRDefault="004F2971" w:rsidP="004F2971">
      <w:pPr>
        <w:pStyle w:val="a0"/>
        <w:numPr>
          <w:ilvl w:val="0"/>
          <w:numId w:val="23"/>
        </w:numPr>
        <w:jc w:val="both"/>
        <w:rPr>
          <w:lang w:val="en-US" w:eastAsia="ko-KR"/>
        </w:rPr>
      </w:pPr>
      <w:r w:rsidRPr="009C3D78">
        <w:rPr>
          <w:b/>
          <w:i/>
          <w:lang w:val="en-US" w:eastAsia="ko-KR"/>
        </w:rPr>
        <w:t>Proposal 1</w:t>
      </w:r>
      <w:r>
        <w:rPr>
          <w:lang w:val="en-US" w:eastAsia="ko-KR"/>
        </w:rPr>
        <w:t>. For cell reselection mechanism, following distance based mechanism shall be considered together with legacy RSRP based reselection since t</w:t>
      </w:r>
      <w:r w:rsidRPr="00A50999">
        <w:rPr>
          <w:lang w:val="en-US" w:eastAsia="ko-KR"/>
        </w:rPr>
        <w:t>he near-far effect is not clearly observed</w:t>
      </w:r>
      <w:r>
        <w:rPr>
          <w:lang w:val="en-US" w:eastAsia="ko-KR"/>
        </w:rPr>
        <w:t xml:space="preserve"> in blind area ATG BS.</w:t>
      </w:r>
    </w:p>
    <w:p w14:paraId="323BAF74" w14:textId="77777777" w:rsidR="004F2971" w:rsidRDefault="004F2971" w:rsidP="004F2971">
      <w:pPr>
        <w:pStyle w:val="ad"/>
        <w:numPr>
          <w:ilvl w:val="1"/>
          <w:numId w:val="23"/>
        </w:numPr>
        <w:spacing w:after="120"/>
        <w:ind w:leftChars="0"/>
      </w:pPr>
      <w:r>
        <w:t>If t</w:t>
      </w:r>
      <w:r w:rsidRPr="00ED048A">
        <w:t xml:space="preserve">he distance between UE and </w:t>
      </w:r>
      <w:r>
        <w:t>BS l</w:t>
      </w:r>
      <w:r w:rsidRPr="00ED048A">
        <w:t xml:space="preserve">ocation is smaller than </w:t>
      </w:r>
      <w:r w:rsidRPr="004A69A6">
        <w:rPr>
          <w:b/>
          <w:bCs/>
          <w:u w:val="single"/>
        </w:rPr>
        <w:t>threshold for blind area</w:t>
      </w:r>
      <w:r>
        <w:t xml:space="preserve">, </w:t>
      </w:r>
      <w:r w:rsidRPr="004A69A6">
        <w:t>UE shall search for and measure inter/intra-frequency layers of higher, equal or lower priority in preparation for possible reselection</w:t>
      </w:r>
      <w:r>
        <w:t xml:space="preserve"> </w:t>
      </w:r>
      <w:r w:rsidRPr="00ED048A">
        <w:t>in preparation for possible reselection</w:t>
      </w:r>
    </w:p>
    <w:p w14:paraId="36C6CE15" w14:textId="77777777" w:rsidR="004F2971" w:rsidRDefault="004F2971" w:rsidP="004F2971">
      <w:pPr>
        <w:pStyle w:val="ad"/>
        <w:numPr>
          <w:ilvl w:val="1"/>
          <w:numId w:val="23"/>
        </w:numPr>
        <w:spacing w:after="120"/>
        <w:ind w:leftChars="0"/>
      </w:pPr>
      <w:r>
        <w:t>If t</w:t>
      </w:r>
      <w:r w:rsidRPr="00ED048A">
        <w:t xml:space="preserve">he distance between UE and </w:t>
      </w:r>
      <w:r>
        <w:t>BS l</w:t>
      </w:r>
      <w:r w:rsidRPr="00ED048A">
        <w:t xml:space="preserve">ocation is </w:t>
      </w:r>
      <w:r>
        <w:t>larger</w:t>
      </w:r>
      <w:r w:rsidRPr="00ED048A">
        <w:t xml:space="preserve"> than </w:t>
      </w:r>
      <w:r w:rsidRPr="004A69A6">
        <w:rPr>
          <w:b/>
          <w:bCs/>
          <w:u w:val="single"/>
        </w:rPr>
        <w:t>threshold for blind area</w:t>
      </w:r>
      <w:r>
        <w:rPr>
          <w:b/>
          <w:bCs/>
          <w:u w:val="single"/>
        </w:rPr>
        <w:t xml:space="preserve"> </w:t>
      </w:r>
      <w:r w:rsidRPr="004A69A6">
        <w:t>and smaller than distanceThresh</w:t>
      </w:r>
      <w:r>
        <w:t xml:space="preserve">, </w:t>
      </w:r>
      <w:r w:rsidRPr="00ED048A">
        <w:t>the UE shall search for inter/intra-frequency layers of higher priority.</w:t>
      </w:r>
    </w:p>
    <w:p w14:paraId="03DCC669" w14:textId="77777777" w:rsidR="004F2971" w:rsidRPr="00ED048A" w:rsidRDefault="004F2971" w:rsidP="004F2971">
      <w:pPr>
        <w:pStyle w:val="ad"/>
        <w:numPr>
          <w:ilvl w:val="1"/>
          <w:numId w:val="23"/>
        </w:numPr>
        <w:spacing w:after="120"/>
        <w:ind w:leftChars="0"/>
      </w:pPr>
      <w:r w:rsidRPr="00ED048A">
        <w:t>If the distance between UE and serving cell reference location is larger than distanceThresh</w:t>
      </w:r>
      <w:r>
        <w:t>,</w:t>
      </w:r>
      <w:r w:rsidRPr="00ED048A">
        <w:t xml:space="preserve"> UE shall search for and measure inter/intra-frequency layers of higher, equal or lower priority in preparation for possible reselection</w:t>
      </w:r>
    </w:p>
    <w:p w14:paraId="47B46843" w14:textId="3EB43492" w:rsidR="004F2971" w:rsidRPr="00D9628D" w:rsidRDefault="004F2971" w:rsidP="004F2971">
      <w:pPr>
        <w:pStyle w:val="a0"/>
        <w:numPr>
          <w:ilvl w:val="0"/>
          <w:numId w:val="23"/>
        </w:numPr>
        <w:jc w:val="both"/>
        <w:rPr>
          <w:b/>
          <w:sz w:val="24"/>
          <w:u w:val="single"/>
          <w:lang w:eastAsia="ko-KR"/>
        </w:rPr>
      </w:pPr>
      <w:r w:rsidRPr="009C3D78">
        <w:rPr>
          <w:b/>
          <w:i/>
          <w:lang w:val="en-US" w:eastAsia="ko-KR"/>
        </w:rPr>
        <w:t xml:space="preserve">Proposal </w:t>
      </w:r>
      <w:r>
        <w:rPr>
          <w:b/>
          <w:i/>
          <w:lang w:val="en-US" w:eastAsia="ko-KR"/>
        </w:rPr>
        <w:t>2</w:t>
      </w:r>
      <w:r>
        <w:rPr>
          <w:lang w:val="en-US" w:eastAsia="ko-KR"/>
        </w:rPr>
        <w:t xml:space="preserve">. Using BS location information and UE location information, CHO can be </w:t>
      </w:r>
      <w:r w:rsidR="006804A0">
        <w:rPr>
          <w:lang w:val="en-US" w:eastAsia="ko-KR"/>
        </w:rPr>
        <w:t>applied</w:t>
      </w:r>
      <w:r>
        <w:rPr>
          <w:lang w:val="en-US" w:eastAsia="ko-KR"/>
        </w:rPr>
        <w:t xml:space="preserve"> for UE located on the blind area of ATG BS</w:t>
      </w:r>
      <w:r w:rsidR="004F1A1E">
        <w:rPr>
          <w:lang w:val="en-US" w:eastAsia="ko-KR"/>
        </w:rPr>
        <w:t xml:space="preserve"> since t</w:t>
      </w:r>
      <w:r w:rsidR="004F1A1E" w:rsidRPr="00A50999">
        <w:rPr>
          <w:lang w:val="en-US" w:eastAsia="ko-KR"/>
        </w:rPr>
        <w:t>he near-far effect is not clearly observed</w:t>
      </w:r>
      <w:r w:rsidR="004F1A1E">
        <w:rPr>
          <w:lang w:val="en-US" w:eastAsia="ko-KR"/>
        </w:rPr>
        <w:t xml:space="preserve"> in blind area ATG BS.</w:t>
      </w:r>
    </w:p>
    <w:p w14:paraId="489CA94B" w14:textId="77777777" w:rsidR="00C6596A" w:rsidRPr="000F6BD7" w:rsidRDefault="00C6596A" w:rsidP="00C6596A">
      <w:pPr>
        <w:pStyle w:val="a0"/>
        <w:jc w:val="both"/>
        <w:rPr>
          <w:lang w:val="en-US" w:eastAsia="ko-KR"/>
        </w:rPr>
      </w:pPr>
    </w:p>
    <w:p w14:paraId="3D176B3A" w14:textId="77777777" w:rsidR="001171FA" w:rsidRDefault="001171FA" w:rsidP="00D4523D">
      <w:pPr>
        <w:pStyle w:val="1"/>
        <w:jc w:val="both"/>
        <w:rPr>
          <w:lang w:val="en-US" w:eastAsia="ko-KR"/>
        </w:rPr>
      </w:pPr>
      <w:r>
        <w:rPr>
          <w:rFonts w:hint="eastAsia"/>
          <w:lang w:val="en-US" w:eastAsia="ko-KR"/>
        </w:rPr>
        <w:t>Reference</w:t>
      </w:r>
    </w:p>
    <w:p w14:paraId="467966C3" w14:textId="06863B00" w:rsidR="005D79C4" w:rsidRDefault="005D79C4" w:rsidP="005D79C4">
      <w:pPr>
        <w:pStyle w:val="a0"/>
        <w:rPr>
          <w:lang w:val="en-US" w:eastAsia="ko-KR"/>
        </w:rPr>
      </w:pPr>
      <w:r>
        <w:rPr>
          <w:lang w:val="en-US" w:eastAsia="ko-KR"/>
        </w:rPr>
        <w:t>[1] R4-2</w:t>
      </w:r>
      <w:r w:rsidR="005C54C8">
        <w:rPr>
          <w:lang w:val="en-US" w:eastAsia="ko-KR"/>
        </w:rPr>
        <w:t>303226</w:t>
      </w:r>
      <w:r>
        <w:rPr>
          <w:lang w:val="en-US" w:eastAsia="ko-KR"/>
        </w:rPr>
        <w:t xml:space="preserve"> “WF on NR ATG RRM requirement”, CMCC</w:t>
      </w:r>
    </w:p>
    <w:p w14:paraId="669219A2" w14:textId="4B55069C" w:rsidR="00CC6AD6" w:rsidRDefault="00CC6AD6" w:rsidP="005D79C4">
      <w:pPr>
        <w:pStyle w:val="a0"/>
        <w:rPr>
          <w:lang w:val="en-US" w:eastAsia="ko-KR"/>
        </w:rPr>
      </w:pPr>
      <w:r>
        <w:rPr>
          <w:rFonts w:hint="eastAsia"/>
          <w:lang w:val="en-US" w:eastAsia="ko-KR"/>
        </w:rPr>
        <w:t>[</w:t>
      </w:r>
      <w:r>
        <w:rPr>
          <w:lang w:val="en-US" w:eastAsia="ko-KR"/>
        </w:rPr>
        <w:t xml:space="preserve">2] </w:t>
      </w:r>
      <w:r w:rsidRPr="00CC6AD6">
        <w:rPr>
          <w:lang w:val="en-US" w:eastAsia="ko-KR"/>
        </w:rPr>
        <w:t>R4-2303684</w:t>
      </w:r>
      <w:r>
        <w:rPr>
          <w:lang w:val="en-US" w:eastAsia="ko-KR"/>
        </w:rPr>
        <w:t xml:space="preserve"> “</w:t>
      </w:r>
      <w:r w:rsidRPr="00CC6AD6">
        <w:rPr>
          <w:lang w:val="en-US" w:eastAsia="ko-KR"/>
        </w:rPr>
        <w:t>LS on applicability of SIB19 for NR ATG</w:t>
      </w:r>
      <w:r>
        <w:rPr>
          <w:lang w:val="en-US" w:eastAsia="ko-KR"/>
        </w:rPr>
        <w:t>” RAN4</w:t>
      </w:r>
    </w:p>
    <w:p w14:paraId="3A6826C0" w14:textId="77777777" w:rsidR="00752799" w:rsidRPr="005D79C4" w:rsidRDefault="00752799" w:rsidP="005D79C4">
      <w:pPr>
        <w:pStyle w:val="a0"/>
        <w:rPr>
          <w:lang w:val="en-US" w:eastAsia="ko-KR"/>
        </w:rPr>
      </w:pPr>
    </w:p>
    <w:sectPr w:rsidR="00752799" w:rsidRPr="005D79C4"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CFD90" w14:textId="77777777" w:rsidR="001C5AED" w:rsidRDefault="001C5AED" w:rsidP="00D306DF">
      <w:r>
        <w:separator/>
      </w:r>
    </w:p>
  </w:endnote>
  <w:endnote w:type="continuationSeparator" w:id="0">
    <w:p w14:paraId="7169FA2D" w14:textId="77777777" w:rsidR="001C5AED" w:rsidRDefault="001C5AE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E867A" w14:textId="77777777" w:rsidR="001C5AED" w:rsidRDefault="001C5AED" w:rsidP="00D306DF">
      <w:r>
        <w:separator/>
      </w:r>
    </w:p>
  </w:footnote>
  <w:footnote w:type="continuationSeparator" w:id="0">
    <w:p w14:paraId="78EBFC91" w14:textId="77777777" w:rsidR="001C5AED" w:rsidRDefault="001C5AED"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07561539"/>
    <w:multiLevelType w:val="hybridMultilevel"/>
    <w:tmpl w:val="0D7EFAF4"/>
    <w:lvl w:ilvl="0" w:tplc="FFFFFFFF">
      <w:start w:val="1"/>
      <w:numFmt w:val="bullet"/>
      <w:lvlText w:val=""/>
      <w:lvlJc w:val="left"/>
      <w:pPr>
        <w:ind w:left="800" w:hanging="400"/>
      </w:pPr>
      <w:rPr>
        <w:rFonts w:ascii="Symbol" w:hAnsi="Symbol" w:hint="default"/>
      </w:rPr>
    </w:lvl>
    <w:lvl w:ilvl="1" w:tplc="BD502C82">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9257589"/>
    <w:multiLevelType w:val="hybridMultilevel"/>
    <w:tmpl w:val="B6E8895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075316897">
    <w:abstractNumId w:val="8"/>
  </w:num>
  <w:num w:numId="2" w16cid:durableId="1240021101">
    <w:abstractNumId w:val="3"/>
  </w:num>
  <w:num w:numId="3" w16cid:durableId="1160118648">
    <w:abstractNumId w:val="16"/>
  </w:num>
  <w:num w:numId="4" w16cid:durableId="1843276907">
    <w:abstractNumId w:val="11"/>
  </w:num>
  <w:num w:numId="5" w16cid:durableId="1417702091">
    <w:abstractNumId w:val="7"/>
  </w:num>
  <w:num w:numId="6" w16cid:durableId="1289554287">
    <w:abstractNumId w:val="17"/>
  </w:num>
  <w:num w:numId="7" w16cid:durableId="1806895312">
    <w:abstractNumId w:val="15"/>
  </w:num>
  <w:num w:numId="8" w16cid:durableId="1946306768">
    <w:abstractNumId w:val="0"/>
  </w:num>
  <w:num w:numId="9" w16cid:durableId="127356037">
    <w:abstractNumId w:val="23"/>
  </w:num>
  <w:num w:numId="10" w16cid:durableId="986935419">
    <w:abstractNumId w:val="4"/>
  </w:num>
  <w:num w:numId="11" w16cid:durableId="409691140">
    <w:abstractNumId w:val="20"/>
  </w:num>
  <w:num w:numId="12" w16cid:durableId="951208164">
    <w:abstractNumId w:val="22"/>
  </w:num>
  <w:num w:numId="13" w16cid:durableId="1129545328">
    <w:abstractNumId w:val="10"/>
  </w:num>
  <w:num w:numId="14" w16cid:durableId="105203699">
    <w:abstractNumId w:val="19"/>
  </w:num>
  <w:num w:numId="15" w16cid:durableId="1164247607">
    <w:abstractNumId w:val="12"/>
  </w:num>
  <w:num w:numId="16" w16cid:durableId="303315450">
    <w:abstractNumId w:val="9"/>
  </w:num>
  <w:num w:numId="17" w16cid:durableId="1644658218">
    <w:abstractNumId w:val="14"/>
  </w:num>
  <w:num w:numId="18" w16cid:durableId="1197083525">
    <w:abstractNumId w:val="13"/>
  </w:num>
  <w:num w:numId="19" w16cid:durableId="182285458">
    <w:abstractNumId w:val="2"/>
  </w:num>
  <w:num w:numId="20" w16cid:durableId="794058771">
    <w:abstractNumId w:val="6"/>
  </w:num>
  <w:num w:numId="21" w16cid:durableId="727723139">
    <w:abstractNumId w:val="18"/>
  </w:num>
  <w:num w:numId="22" w16cid:durableId="1975746468">
    <w:abstractNumId w:val="5"/>
  </w:num>
  <w:num w:numId="23" w16cid:durableId="829247919">
    <w:abstractNumId w:val="1"/>
  </w:num>
  <w:num w:numId="24" w16cid:durableId="594169897">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MqoFAJ3JI6o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64D"/>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035"/>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781"/>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680"/>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54"/>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1"/>
    <w:rsid w:val="000B3E6D"/>
    <w:rsid w:val="000B4AFE"/>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997"/>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BD7"/>
    <w:rsid w:val="000F6E61"/>
    <w:rsid w:val="00100413"/>
    <w:rsid w:val="001004C5"/>
    <w:rsid w:val="0010061A"/>
    <w:rsid w:val="0010118F"/>
    <w:rsid w:val="00103EF5"/>
    <w:rsid w:val="00104AC0"/>
    <w:rsid w:val="0010506A"/>
    <w:rsid w:val="00106238"/>
    <w:rsid w:val="00106847"/>
    <w:rsid w:val="001068F8"/>
    <w:rsid w:val="0010779B"/>
    <w:rsid w:val="00107D58"/>
    <w:rsid w:val="001101D9"/>
    <w:rsid w:val="00110298"/>
    <w:rsid w:val="00110EC9"/>
    <w:rsid w:val="00112017"/>
    <w:rsid w:val="00112609"/>
    <w:rsid w:val="00115BB4"/>
    <w:rsid w:val="001171FA"/>
    <w:rsid w:val="00117767"/>
    <w:rsid w:val="0011785D"/>
    <w:rsid w:val="00117963"/>
    <w:rsid w:val="00117AA2"/>
    <w:rsid w:val="00117ADB"/>
    <w:rsid w:val="00117BB6"/>
    <w:rsid w:val="00121DFB"/>
    <w:rsid w:val="0012269A"/>
    <w:rsid w:val="0012310A"/>
    <w:rsid w:val="00123B30"/>
    <w:rsid w:val="00123C65"/>
    <w:rsid w:val="00123FC1"/>
    <w:rsid w:val="0012436A"/>
    <w:rsid w:val="00124BC8"/>
    <w:rsid w:val="0012596B"/>
    <w:rsid w:val="00125A06"/>
    <w:rsid w:val="001266AB"/>
    <w:rsid w:val="00126C25"/>
    <w:rsid w:val="00126E69"/>
    <w:rsid w:val="00127C4C"/>
    <w:rsid w:val="0013076C"/>
    <w:rsid w:val="00130DBB"/>
    <w:rsid w:val="0013116E"/>
    <w:rsid w:val="00131E37"/>
    <w:rsid w:val="00131F78"/>
    <w:rsid w:val="00132135"/>
    <w:rsid w:val="00134809"/>
    <w:rsid w:val="00134D2C"/>
    <w:rsid w:val="0013597C"/>
    <w:rsid w:val="00135CF7"/>
    <w:rsid w:val="00137B00"/>
    <w:rsid w:val="00140686"/>
    <w:rsid w:val="001408F9"/>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20F"/>
    <w:rsid w:val="001547D0"/>
    <w:rsid w:val="001566ED"/>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45C9"/>
    <w:rsid w:val="0017611B"/>
    <w:rsid w:val="00177ACA"/>
    <w:rsid w:val="001803BA"/>
    <w:rsid w:val="00180586"/>
    <w:rsid w:val="00181F52"/>
    <w:rsid w:val="00182C2C"/>
    <w:rsid w:val="00183372"/>
    <w:rsid w:val="001839C8"/>
    <w:rsid w:val="00183F83"/>
    <w:rsid w:val="00187F2E"/>
    <w:rsid w:val="0019037B"/>
    <w:rsid w:val="00190F35"/>
    <w:rsid w:val="0019112E"/>
    <w:rsid w:val="001916DB"/>
    <w:rsid w:val="00191CCE"/>
    <w:rsid w:val="00192F30"/>
    <w:rsid w:val="00193D86"/>
    <w:rsid w:val="001941DA"/>
    <w:rsid w:val="00194491"/>
    <w:rsid w:val="0019580A"/>
    <w:rsid w:val="0019622E"/>
    <w:rsid w:val="0019728E"/>
    <w:rsid w:val="0019793F"/>
    <w:rsid w:val="00197ABE"/>
    <w:rsid w:val="001A0FAC"/>
    <w:rsid w:val="001A1300"/>
    <w:rsid w:val="001A1A70"/>
    <w:rsid w:val="001A241C"/>
    <w:rsid w:val="001A2A07"/>
    <w:rsid w:val="001A2BC9"/>
    <w:rsid w:val="001A45CD"/>
    <w:rsid w:val="001A4D3C"/>
    <w:rsid w:val="001A4E8B"/>
    <w:rsid w:val="001A6200"/>
    <w:rsid w:val="001A629E"/>
    <w:rsid w:val="001A69E8"/>
    <w:rsid w:val="001A6A59"/>
    <w:rsid w:val="001A714C"/>
    <w:rsid w:val="001A73FD"/>
    <w:rsid w:val="001B0634"/>
    <w:rsid w:val="001B1FF3"/>
    <w:rsid w:val="001B394E"/>
    <w:rsid w:val="001B3C3A"/>
    <w:rsid w:val="001B4AE4"/>
    <w:rsid w:val="001B4B8A"/>
    <w:rsid w:val="001B6CE9"/>
    <w:rsid w:val="001C00CF"/>
    <w:rsid w:val="001C02D9"/>
    <w:rsid w:val="001C04D2"/>
    <w:rsid w:val="001C1C44"/>
    <w:rsid w:val="001C1FC1"/>
    <w:rsid w:val="001C2478"/>
    <w:rsid w:val="001C29DD"/>
    <w:rsid w:val="001C38FA"/>
    <w:rsid w:val="001C47CE"/>
    <w:rsid w:val="001C5AED"/>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02F"/>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5F8"/>
    <w:rsid w:val="00272E1E"/>
    <w:rsid w:val="00273781"/>
    <w:rsid w:val="00273AAA"/>
    <w:rsid w:val="00273E52"/>
    <w:rsid w:val="00274312"/>
    <w:rsid w:val="00274872"/>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76C"/>
    <w:rsid w:val="002A2DD0"/>
    <w:rsid w:val="002A2ED2"/>
    <w:rsid w:val="002A396A"/>
    <w:rsid w:val="002A3BBA"/>
    <w:rsid w:val="002A4B6E"/>
    <w:rsid w:val="002A5400"/>
    <w:rsid w:val="002A70CD"/>
    <w:rsid w:val="002B2632"/>
    <w:rsid w:val="002B27D0"/>
    <w:rsid w:val="002B2D20"/>
    <w:rsid w:val="002B38C9"/>
    <w:rsid w:val="002B3AD2"/>
    <w:rsid w:val="002B4879"/>
    <w:rsid w:val="002B4A73"/>
    <w:rsid w:val="002B5AA3"/>
    <w:rsid w:val="002B6D35"/>
    <w:rsid w:val="002B796F"/>
    <w:rsid w:val="002B7DF0"/>
    <w:rsid w:val="002C1AA0"/>
    <w:rsid w:val="002C21A4"/>
    <w:rsid w:val="002C3A80"/>
    <w:rsid w:val="002C4364"/>
    <w:rsid w:val="002C64AC"/>
    <w:rsid w:val="002D1024"/>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58C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443F"/>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A7CF0"/>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33A"/>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94"/>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3B6B"/>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6055"/>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862E8"/>
    <w:rsid w:val="0049218E"/>
    <w:rsid w:val="00492640"/>
    <w:rsid w:val="00492839"/>
    <w:rsid w:val="00492EA4"/>
    <w:rsid w:val="00494285"/>
    <w:rsid w:val="00494941"/>
    <w:rsid w:val="004961B0"/>
    <w:rsid w:val="004A06BF"/>
    <w:rsid w:val="004A16CD"/>
    <w:rsid w:val="004A3660"/>
    <w:rsid w:val="004A61DC"/>
    <w:rsid w:val="004A69A6"/>
    <w:rsid w:val="004B0607"/>
    <w:rsid w:val="004B0A42"/>
    <w:rsid w:val="004B1DC5"/>
    <w:rsid w:val="004B2651"/>
    <w:rsid w:val="004B30AF"/>
    <w:rsid w:val="004B338D"/>
    <w:rsid w:val="004B3F28"/>
    <w:rsid w:val="004B49AE"/>
    <w:rsid w:val="004B5719"/>
    <w:rsid w:val="004B5744"/>
    <w:rsid w:val="004B651B"/>
    <w:rsid w:val="004B702F"/>
    <w:rsid w:val="004B7473"/>
    <w:rsid w:val="004B798E"/>
    <w:rsid w:val="004C0CC5"/>
    <w:rsid w:val="004C1DC1"/>
    <w:rsid w:val="004C42C8"/>
    <w:rsid w:val="004C56BA"/>
    <w:rsid w:val="004C6282"/>
    <w:rsid w:val="004C6B6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6CB2"/>
    <w:rsid w:val="004E7FDD"/>
    <w:rsid w:val="004F06A1"/>
    <w:rsid w:val="004F1A1E"/>
    <w:rsid w:val="004F2245"/>
    <w:rsid w:val="004F2971"/>
    <w:rsid w:val="004F29BB"/>
    <w:rsid w:val="004F2B4C"/>
    <w:rsid w:val="004F30D3"/>
    <w:rsid w:val="004F6157"/>
    <w:rsid w:val="004F6FBE"/>
    <w:rsid w:val="00501342"/>
    <w:rsid w:val="005025F0"/>
    <w:rsid w:val="0050315E"/>
    <w:rsid w:val="005035B5"/>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A75"/>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24E"/>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1F3"/>
    <w:rsid w:val="005C3E5D"/>
    <w:rsid w:val="005C429C"/>
    <w:rsid w:val="005C43BE"/>
    <w:rsid w:val="005C537B"/>
    <w:rsid w:val="005C54C8"/>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D79C4"/>
    <w:rsid w:val="005E021A"/>
    <w:rsid w:val="005E1796"/>
    <w:rsid w:val="005E1F42"/>
    <w:rsid w:val="005E1F93"/>
    <w:rsid w:val="005E2BB0"/>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6A3"/>
    <w:rsid w:val="00610BCA"/>
    <w:rsid w:val="00610FD0"/>
    <w:rsid w:val="00612AAA"/>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18F"/>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5F09"/>
    <w:rsid w:val="0064686E"/>
    <w:rsid w:val="00646E27"/>
    <w:rsid w:val="00647BD5"/>
    <w:rsid w:val="00651102"/>
    <w:rsid w:val="00652309"/>
    <w:rsid w:val="00652326"/>
    <w:rsid w:val="006524A4"/>
    <w:rsid w:val="00653244"/>
    <w:rsid w:val="00654297"/>
    <w:rsid w:val="00654D66"/>
    <w:rsid w:val="00657796"/>
    <w:rsid w:val="00662107"/>
    <w:rsid w:val="00663528"/>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4A0"/>
    <w:rsid w:val="00680D9F"/>
    <w:rsid w:val="00680F95"/>
    <w:rsid w:val="00681D1B"/>
    <w:rsid w:val="006833AA"/>
    <w:rsid w:val="00683CAB"/>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95C"/>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2C38"/>
    <w:rsid w:val="006D3745"/>
    <w:rsid w:val="006D3962"/>
    <w:rsid w:val="006D3EAD"/>
    <w:rsid w:val="006D3F24"/>
    <w:rsid w:val="006D601D"/>
    <w:rsid w:val="006D7638"/>
    <w:rsid w:val="006E0B58"/>
    <w:rsid w:val="006E1F13"/>
    <w:rsid w:val="006E2AB7"/>
    <w:rsid w:val="006E3E1A"/>
    <w:rsid w:val="006E49E7"/>
    <w:rsid w:val="006E4A3B"/>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56A"/>
    <w:rsid w:val="00717768"/>
    <w:rsid w:val="00720FB0"/>
    <w:rsid w:val="00723748"/>
    <w:rsid w:val="0072442F"/>
    <w:rsid w:val="007249CF"/>
    <w:rsid w:val="007249D7"/>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26"/>
    <w:rsid w:val="00740E55"/>
    <w:rsid w:val="00741108"/>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39BC"/>
    <w:rsid w:val="007D567A"/>
    <w:rsid w:val="007D662B"/>
    <w:rsid w:val="007D721A"/>
    <w:rsid w:val="007E0483"/>
    <w:rsid w:val="007E0528"/>
    <w:rsid w:val="007E0F2B"/>
    <w:rsid w:val="007E2499"/>
    <w:rsid w:val="007E3059"/>
    <w:rsid w:val="007E3246"/>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1C0"/>
    <w:rsid w:val="007F5312"/>
    <w:rsid w:val="007F567B"/>
    <w:rsid w:val="007F5DFC"/>
    <w:rsid w:val="007F5E32"/>
    <w:rsid w:val="007F6F16"/>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29F5"/>
    <w:rsid w:val="0087423A"/>
    <w:rsid w:val="00874AE4"/>
    <w:rsid w:val="00874B2F"/>
    <w:rsid w:val="00874B43"/>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5CDD"/>
    <w:rsid w:val="008B63B4"/>
    <w:rsid w:val="008B689E"/>
    <w:rsid w:val="008B7118"/>
    <w:rsid w:val="008B72C8"/>
    <w:rsid w:val="008B75C4"/>
    <w:rsid w:val="008C0520"/>
    <w:rsid w:val="008C0AF5"/>
    <w:rsid w:val="008C1684"/>
    <w:rsid w:val="008C4B9C"/>
    <w:rsid w:val="008C627A"/>
    <w:rsid w:val="008C725F"/>
    <w:rsid w:val="008C7D76"/>
    <w:rsid w:val="008D179B"/>
    <w:rsid w:val="008D2EA1"/>
    <w:rsid w:val="008D2EC1"/>
    <w:rsid w:val="008D3001"/>
    <w:rsid w:val="008D40B0"/>
    <w:rsid w:val="008D4540"/>
    <w:rsid w:val="008D53BF"/>
    <w:rsid w:val="008D68F7"/>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3BE"/>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5F3E"/>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F68"/>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67B42"/>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3E17"/>
    <w:rsid w:val="009940BB"/>
    <w:rsid w:val="00995FEA"/>
    <w:rsid w:val="0099621F"/>
    <w:rsid w:val="00996A2E"/>
    <w:rsid w:val="00996F3A"/>
    <w:rsid w:val="00997D0B"/>
    <w:rsid w:val="009A1483"/>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1AE"/>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0999"/>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00F"/>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22E5"/>
    <w:rsid w:val="00AF3101"/>
    <w:rsid w:val="00AF6280"/>
    <w:rsid w:val="00AF6ACD"/>
    <w:rsid w:val="00AF6B44"/>
    <w:rsid w:val="00AF729C"/>
    <w:rsid w:val="00AF7F15"/>
    <w:rsid w:val="00B0032A"/>
    <w:rsid w:val="00B012F8"/>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5C4C"/>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0E2A"/>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335"/>
    <w:rsid w:val="00CB3421"/>
    <w:rsid w:val="00CB45C7"/>
    <w:rsid w:val="00CB4799"/>
    <w:rsid w:val="00CB4B07"/>
    <w:rsid w:val="00CB4E1E"/>
    <w:rsid w:val="00CB5517"/>
    <w:rsid w:val="00CB5D59"/>
    <w:rsid w:val="00CB7C7A"/>
    <w:rsid w:val="00CC125B"/>
    <w:rsid w:val="00CC1BF1"/>
    <w:rsid w:val="00CC3698"/>
    <w:rsid w:val="00CC4136"/>
    <w:rsid w:val="00CC417F"/>
    <w:rsid w:val="00CC419A"/>
    <w:rsid w:val="00CC5AB1"/>
    <w:rsid w:val="00CC5F9E"/>
    <w:rsid w:val="00CC6AD6"/>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3C2"/>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0D10"/>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5760"/>
    <w:rsid w:val="00D9628D"/>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2D4"/>
    <w:rsid w:val="00DC6544"/>
    <w:rsid w:val="00DC6E13"/>
    <w:rsid w:val="00DD06E2"/>
    <w:rsid w:val="00DD11BC"/>
    <w:rsid w:val="00DD1814"/>
    <w:rsid w:val="00DD3F41"/>
    <w:rsid w:val="00DD40A7"/>
    <w:rsid w:val="00DD47E1"/>
    <w:rsid w:val="00DD4B6A"/>
    <w:rsid w:val="00DD5D17"/>
    <w:rsid w:val="00DD5E53"/>
    <w:rsid w:val="00DE2AD3"/>
    <w:rsid w:val="00DE2C7F"/>
    <w:rsid w:val="00DE308B"/>
    <w:rsid w:val="00DE362A"/>
    <w:rsid w:val="00DE376E"/>
    <w:rsid w:val="00DE44F4"/>
    <w:rsid w:val="00DE55A0"/>
    <w:rsid w:val="00DE5836"/>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647"/>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28"/>
    <w:rsid w:val="00E52446"/>
    <w:rsid w:val="00E52B95"/>
    <w:rsid w:val="00E530D1"/>
    <w:rsid w:val="00E54CC8"/>
    <w:rsid w:val="00E563A5"/>
    <w:rsid w:val="00E5708C"/>
    <w:rsid w:val="00E622EF"/>
    <w:rsid w:val="00E62AAA"/>
    <w:rsid w:val="00E63FBE"/>
    <w:rsid w:val="00E641F4"/>
    <w:rsid w:val="00E66ACB"/>
    <w:rsid w:val="00E67179"/>
    <w:rsid w:val="00E67350"/>
    <w:rsid w:val="00E70250"/>
    <w:rsid w:val="00E71213"/>
    <w:rsid w:val="00E716C6"/>
    <w:rsid w:val="00E7388B"/>
    <w:rsid w:val="00E74BDC"/>
    <w:rsid w:val="00E778F5"/>
    <w:rsid w:val="00E80FCA"/>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01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2A21"/>
    <w:rsid w:val="00ED34DB"/>
    <w:rsid w:val="00ED392A"/>
    <w:rsid w:val="00ED43FB"/>
    <w:rsid w:val="00ED5BC7"/>
    <w:rsid w:val="00ED70A0"/>
    <w:rsid w:val="00EE011E"/>
    <w:rsid w:val="00EE1017"/>
    <w:rsid w:val="00EE1DAA"/>
    <w:rsid w:val="00EE3C05"/>
    <w:rsid w:val="00EE5E9A"/>
    <w:rsid w:val="00EE6051"/>
    <w:rsid w:val="00EE730D"/>
    <w:rsid w:val="00EE79EC"/>
    <w:rsid w:val="00EF17D6"/>
    <w:rsid w:val="00EF1C2D"/>
    <w:rsid w:val="00EF1F81"/>
    <w:rsid w:val="00EF298C"/>
    <w:rsid w:val="00EF32AF"/>
    <w:rsid w:val="00EF4913"/>
    <w:rsid w:val="00EF6A96"/>
    <w:rsid w:val="00EF6BB5"/>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938"/>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432"/>
    <w:rsid w:val="00F51D7A"/>
    <w:rsid w:val="00F534FD"/>
    <w:rsid w:val="00F54A39"/>
    <w:rsid w:val="00F55E1F"/>
    <w:rsid w:val="00F5684D"/>
    <w:rsid w:val="00F56B46"/>
    <w:rsid w:val="00F56FC9"/>
    <w:rsid w:val="00F5793D"/>
    <w:rsid w:val="00F61486"/>
    <w:rsid w:val="00F616B3"/>
    <w:rsid w:val="00F631BB"/>
    <w:rsid w:val="00F64004"/>
    <w:rsid w:val="00F64DE9"/>
    <w:rsid w:val="00F65655"/>
    <w:rsid w:val="00F67422"/>
    <w:rsid w:val="00F707F1"/>
    <w:rsid w:val="00F722AD"/>
    <w:rsid w:val="00F72C97"/>
    <w:rsid w:val="00F737DC"/>
    <w:rsid w:val="00F74028"/>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454"/>
    <w:rsid w:val="00FD1847"/>
    <w:rsid w:val="00FD2FD9"/>
    <w:rsid w:val="00FD4642"/>
    <w:rsid w:val="00FD50AA"/>
    <w:rsid w:val="00FD5192"/>
    <w:rsid w:val="00FD58F5"/>
    <w:rsid w:val="00FD5F8C"/>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6360"/>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009133"/>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32296-15F4-4C1B-9E5F-BE4F6947A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2</Pages>
  <Words>963</Words>
  <Characters>5490</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Jin Woong Park/Communication Standard TP(jinwoong.park@lge.com)</cp:lastModifiedBy>
  <cp:revision>113</cp:revision>
  <dcterms:created xsi:type="dcterms:W3CDTF">2022-09-30T06:42:00Z</dcterms:created>
  <dcterms:modified xsi:type="dcterms:W3CDTF">2023-04-10T07:41:00Z</dcterms:modified>
</cp:coreProperties>
</file>